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sz w:val="40"/>
          <w:szCs w:val="40"/>
        </w:rPr>
        <w:t xml:space="preserve"/>
      </w:r>
    </w:p>
    <w:p>
      <w:pPr>
        <w:spacing w:after="200" w:before="0"/>
        <w:jc w:val="center"/>
      </w:pPr>
      <w:r>
        <w:rPr>
          <w:rFonts w:ascii="Arial" w:cs="Arial" w:eastAsia="Arial" w:hAnsi="Arial"/>
          <w:b/>
          <w:bCs/>
          <w:color w:val="1F4E79"/>
          <w:sz w:val="56"/>
          <w:szCs w:val="56"/>
        </w:rPr>
        <w:t xml:space="preserve">AUDITORÍA INFORMÁTICA</w:t>
      </w:r>
    </w:p>
    <w:p>
      <w:pPr>
        <w:spacing w:after="120" w:before="0"/>
        <w:jc w:val="center"/>
      </w:pPr>
      <w:r>
        <w:rPr>
          <w:rFonts w:ascii="Arial" w:cs="Arial" w:eastAsia="Arial" w:hAnsi="Arial"/>
          <w:color w:val="2E75B6"/>
          <w:sz w:val="30"/>
          <w:szCs w:val="30"/>
        </w:rPr>
        <w:t xml:space="preserve">Tendencias Emergentes, Áreas de Aplicación y</w:t>
      </w:r>
    </w:p>
    <w:p>
      <w:pPr>
        <w:spacing w:after="400" w:before="0"/>
        <w:jc w:val="center"/>
      </w:pPr>
      <w:r>
        <w:rPr>
          <w:rFonts w:ascii="Arial" w:cs="Arial" w:eastAsia="Arial" w:hAnsi="Arial"/>
          <w:color w:val="2E75B6"/>
          <w:sz w:val="30"/>
          <w:szCs w:val="30"/>
        </w:rPr>
        <w:t xml:space="preserve">Marco Normativo Comparativo</w:t>
      </w:r>
    </w:p>
    <w:p>
      <w:pPr>
        <w:spacing w:after="160" w:before="0"/>
        <w:jc w:val="center"/>
      </w:pPr>
      <w:r>
        <w:rPr>
          <w:rFonts w:ascii="Arial" w:cs="Arial" w:eastAsia="Arial" w:hAnsi="Arial"/>
          <w:color w:val="BDD7EE"/>
          <w:sz w:val="24"/>
          <w:szCs w:val="24"/>
        </w:rPr>
        <w:t xml:space="preserve">─────────────────────────────</w:t>
      </w:r>
    </w:p>
    <w:p>
      <w:pPr>
        <w:spacing w:after="100" w:before="0"/>
        <w:jc w:val="center"/>
      </w:pPr>
      <w:r>
        <w:rPr>
          <w:rFonts w:ascii="Arial" w:cs="Arial" w:eastAsia="Arial" w:hAnsi="Arial"/>
          <w:b/>
          <w:bCs/>
          <w:color w:val="404040"/>
          <w:sz w:val="26"/>
          <w:szCs w:val="26"/>
        </w:rPr>
        <w:t xml:space="preserve">Jurisdicción Sanitaria – Sector Salud Pública</w:t>
      </w:r>
    </w:p>
    <w:p>
      <w:pPr>
        <w:spacing w:after="0" w:before="0"/>
      </w:pPr>
      <w:r>
        <w:rPr>
          <w:sz w:val="80"/>
          <w:szCs w:val="80"/>
        </w:rPr>
        <w:t xml:space="preserve"/>
      </w:r>
    </w:p>
    <w:p>
      <w:pPr>
        <w:spacing w:after="80" w:before="0"/>
        <w:jc w:val="center"/>
      </w:pPr>
      <w:r>
        <w:rPr>
          <w:rFonts w:ascii="Arial" w:cs="Arial" w:eastAsia="Arial" w:hAnsi="Arial"/>
          <w:color w:val="404040"/>
          <w:sz w:val="22"/>
          <w:szCs w:val="22"/>
        </w:rPr>
        <w:t xml:space="preserve">Área de Informática en el Sector Salud</w:t>
      </w:r>
    </w:p>
    <w:p>
      <w:pPr>
        <w:spacing w:after="80" w:before="0"/>
        <w:jc w:val="center"/>
      </w:pPr>
      <w:r>
        <w:rPr>
          <w:rFonts w:ascii="Arial" w:cs="Arial" w:eastAsia="Arial" w:hAnsi="Arial"/>
          <w:color w:val="404040"/>
          <w:sz w:val="22"/>
          <w:szCs w:val="22"/>
        </w:rPr>
        <w:t xml:space="preserve">Auditoría Informática – Ciclo Escolar 2025-2026</w:t>
      </w:r>
    </w:p>
    <w:p>
      <w:r>
        <w:br w:type="page"/>
      </w:r>
    </w:p>
    <w:p>
      <w:pPr>
        <w:pStyle w:val="Heading1"/>
        <w:pBdr>
          <w:bottom w:val="single" w:color="2E75B6" w:sz="8" w:space="6"/>
        </w:pBdr>
        <w:spacing w:after="200" w:before="360"/>
      </w:pPr>
      <w:r>
        <w:rPr>
          <w:rFonts w:ascii="Arial" w:cs="Arial" w:eastAsia="Arial" w:hAnsi="Arial"/>
          <w:b/>
          <w:bCs/>
          <w:color w:val="1F4E79"/>
          <w:sz w:val="32"/>
          <w:szCs w:val="32"/>
        </w:rPr>
        <w:t xml:space="preserve">1. Tendencias Emergentes de la Auditoría Informática</w:t>
      </w:r>
    </w:p>
    <w:p>
      <w:pPr>
        <w:spacing w:after="100" w:before="80"/>
        <w:jc w:val="both"/>
      </w:pPr>
      <w:r>
        <w:rPr>
          <w:rFonts w:ascii="Arial" w:cs="Arial" w:eastAsia="Arial" w:hAnsi="Arial"/>
          <w:color w:val="404040"/>
          <w:sz w:val="22"/>
          <w:szCs w:val="22"/>
        </w:rPr>
        <w:t xml:space="preserve">La auditoría informática ha evolucionado de manera acelerada ante la transformación digital de las organizaciones. Las tendencias emergentes buscan dar respuesta a nuevos riesgos tecnológicos, regulaciones más estrictas y entornos altamente complejos.</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1.1 ¿Qué son las Tendencias Emergentes en Auditoría Informática?</w:t>
      </w:r>
    </w:p>
    <w:p>
      <w:pPr>
        <w:spacing w:after="100" w:before="80"/>
        <w:jc w:val="both"/>
      </w:pPr>
      <w:r>
        <w:rPr>
          <w:rFonts w:ascii="Arial" w:cs="Arial" w:eastAsia="Arial" w:hAnsi="Arial"/>
          <w:color w:val="404040"/>
          <w:sz w:val="22"/>
          <w:szCs w:val="22"/>
        </w:rPr>
        <w:t xml:space="preserve">Son los enfoques, metodologías, herramientas y áreas de conocimiento que están redefiniendo la práctica de la auditoría de sistemas de información. Responden a la necesidad de evaluar entornos tecnológicos modernos con mayor precisión, agilidad y profundidad.</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1.2 Principales Tendencias</w:t>
      </w:r>
    </w:p>
    <w:p>
      <w:pPr>
        <w:pStyle w:val="Heading3"/>
        <w:spacing w:after="100" w:before="200"/>
      </w:pPr>
      <w:r>
        <w:rPr>
          <w:rFonts w:ascii="Arial" w:cs="Arial" w:eastAsia="Arial" w:hAnsi="Arial"/>
          <w:b/>
          <w:bCs/>
          <w:color w:val="1F4E79"/>
          <w:sz w:val="24"/>
          <w:szCs w:val="24"/>
        </w:rPr>
        <w:t xml:space="preserve">A) Auditoría Continua (Continuous Auditing – CA)</w:t>
      </w:r>
    </w:p>
    <w:p>
      <w:pPr>
        <w:spacing w:after="100" w:before="80"/>
        <w:jc w:val="both"/>
      </w:pPr>
      <w:r>
        <w:rPr>
          <w:rFonts w:ascii="Arial" w:cs="Arial" w:eastAsia="Arial" w:hAnsi="Arial"/>
          <w:color w:val="404040"/>
          <w:sz w:val="22"/>
          <w:szCs w:val="22"/>
        </w:rPr>
        <w:t xml:space="preserve">Definición: Proceso automatizado de verificación constante de controles, transacciones y procesos en tiempo real mediante herramientas de software.</w:t>
      </w:r>
    </w:p>
    <w:p>
      <w:pPr>
        <w:spacing w:after="100" w:before="80"/>
        <w:jc w:val="both"/>
      </w:pPr>
      <w:r>
        <w:rPr>
          <w:rFonts w:ascii="Arial" w:cs="Arial" w:eastAsia="Arial" w:hAnsi="Arial"/>
          <w:color w:val="404040"/>
          <w:sz w:val="22"/>
          <w:szCs w:val="22"/>
        </w:rPr>
        <w:t xml:space="preserve">Campo de aplicación: Sistemas ERP, bases de datos transaccionales, plataformas financieras y hospitalarias (expediente clínico electrónico).</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Automatización de pruebas de auditoría.</w:t>
      </w:r>
    </w:p>
    <w:p>
      <w:pPr>
        <w:pStyle w:val="ListParagraph"/>
        <w:numPr>
          <w:ilvl w:val="0"/>
          <w:numId w:val="2"/>
        </w:numPr>
        <w:spacing w:after="60" w:before="60"/>
      </w:pPr>
      <w:r>
        <w:rPr>
          <w:rFonts w:ascii="Arial" w:cs="Arial" w:eastAsia="Arial" w:hAnsi="Arial"/>
          <w:color w:val="404040"/>
          <w:sz w:val="22"/>
          <w:szCs w:val="22"/>
        </w:rPr>
        <w:t xml:space="preserve">Uso de scripts y herramientas como ACL, IDEA, Power BI.</w:t>
      </w:r>
    </w:p>
    <w:p>
      <w:pPr>
        <w:pStyle w:val="ListParagraph"/>
        <w:numPr>
          <w:ilvl w:val="0"/>
          <w:numId w:val="2"/>
        </w:numPr>
        <w:spacing w:after="60" w:before="60"/>
      </w:pPr>
      <w:r>
        <w:rPr>
          <w:rFonts w:ascii="Arial" w:cs="Arial" w:eastAsia="Arial" w:hAnsi="Arial"/>
          <w:color w:val="404040"/>
          <w:sz w:val="22"/>
          <w:szCs w:val="22"/>
        </w:rPr>
        <w:t xml:space="preserve">Reducción del ciclo de auditoría de anual a continuo.</w:t>
      </w:r>
    </w:p>
    <w:p>
      <w:pPr>
        <w:pStyle w:val="ListParagraph"/>
        <w:numPr>
          <w:ilvl w:val="0"/>
          <w:numId w:val="2"/>
        </w:numPr>
        <w:spacing w:after="60" w:before="60"/>
      </w:pPr>
      <w:r>
        <w:rPr>
          <w:rFonts w:ascii="Arial" w:cs="Arial" w:eastAsia="Arial" w:hAnsi="Arial"/>
          <w:color w:val="404040"/>
          <w:sz w:val="22"/>
          <w:szCs w:val="22"/>
        </w:rPr>
        <w:t xml:space="preserve">Generación de alertas y reportes automáticos.</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B) Auditoría Basada en Riesgos de Ciberseguridad</w:t>
      </w:r>
    </w:p>
    <w:p>
      <w:pPr>
        <w:spacing w:after="100" w:before="80"/>
        <w:jc w:val="both"/>
      </w:pPr>
      <w:r>
        <w:rPr>
          <w:rFonts w:ascii="Arial" w:cs="Arial" w:eastAsia="Arial" w:hAnsi="Arial"/>
          <w:color w:val="404040"/>
          <w:sz w:val="22"/>
          <w:szCs w:val="22"/>
        </w:rPr>
        <w:t xml:space="preserve">Definición: Evaluación sistemática de los riesgos asociados a amenazas cibernéticas: ransomware, phishing, APT (Advanced Persistent Threats), acceso no autorizado.</w:t>
      </w:r>
    </w:p>
    <w:p>
      <w:pPr>
        <w:spacing w:after="100" w:before="80"/>
        <w:jc w:val="both"/>
      </w:pPr>
      <w:r>
        <w:rPr>
          <w:rFonts w:ascii="Arial" w:cs="Arial" w:eastAsia="Arial" w:hAnsi="Arial"/>
          <w:color w:val="404040"/>
          <w:sz w:val="22"/>
          <w:szCs w:val="22"/>
        </w:rPr>
        <w:t xml:space="preserve">Campo de aplicación: Redes hospitalarias, sistemas de historia clínica, infraestructura crítica de salud pública.</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Integra marcos como NIST CSF, ISO 27001 y CIS Controls.</w:t>
      </w:r>
    </w:p>
    <w:p>
      <w:pPr>
        <w:pStyle w:val="ListParagraph"/>
        <w:numPr>
          <w:ilvl w:val="0"/>
          <w:numId w:val="2"/>
        </w:numPr>
        <w:spacing w:after="60" w:before="60"/>
      </w:pPr>
      <w:r>
        <w:rPr>
          <w:rFonts w:ascii="Arial" w:cs="Arial" w:eastAsia="Arial" w:hAnsi="Arial"/>
          <w:color w:val="404040"/>
          <w:sz w:val="22"/>
          <w:szCs w:val="22"/>
        </w:rPr>
        <w:t xml:space="preserve">Análisis de vulnerabilidades con herramientas como Nessus, OpenVAS.</w:t>
      </w:r>
    </w:p>
    <w:p>
      <w:pPr>
        <w:pStyle w:val="ListParagraph"/>
        <w:numPr>
          <w:ilvl w:val="0"/>
          <w:numId w:val="2"/>
        </w:numPr>
        <w:spacing w:after="60" w:before="60"/>
      </w:pPr>
      <w:r>
        <w:rPr>
          <w:rFonts w:ascii="Arial" w:cs="Arial" w:eastAsia="Arial" w:hAnsi="Arial"/>
          <w:color w:val="404040"/>
          <w:sz w:val="22"/>
          <w:szCs w:val="22"/>
        </w:rPr>
        <w:t xml:space="preserve">Evaluación de controles de acceso, cifrado y respuesta a incidentes.</w:t>
      </w:r>
    </w:p>
    <w:p>
      <w:pPr>
        <w:pStyle w:val="ListParagraph"/>
        <w:numPr>
          <w:ilvl w:val="0"/>
          <w:numId w:val="2"/>
        </w:numPr>
        <w:spacing w:after="60" w:before="60"/>
      </w:pPr>
      <w:r>
        <w:rPr>
          <w:rFonts w:ascii="Arial" w:cs="Arial" w:eastAsia="Arial" w:hAnsi="Arial"/>
          <w:color w:val="404040"/>
          <w:sz w:val="22"/>
          <w:szCs w:val="22"/>
        </w:rPr>
        <w:t xml:space="preserve">Pruebas de penetración (pentesting) controlado.</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C) Auditoría de la Inteligencia Artificial y Machine Learning</w:t>
      </w:r>
    </w:p>
    <w:p>
      <w:pPr>
        <w:spacing w:after="100" w:before="80"/>
        <w:jc w:val="both"/>
      </w:pPr>
      <w:r>
        <w:rPr>
          <w:rFonts w:ascii="Arial" w:cs="Arial" w:eastAsia="Arial" w:hAnsi="Arial"/>
          <w:color w:val="404040"/>
          <w:sz w:val="22"/>
          <w:szCs w:val="22"/>
        </w:rPr>
        <w:t xml:space="preserve">Definición: Evaluación de los sistemas de IA/ML implementados en la organización para verificar transparencia, exactitud, sesgos y cumplimiento ético.</w:t>
      </w:r>
    </w:p>
    <w:p>
      <w:pPr>
        <w:spacing w:after="100" w:before="80"/>
        <w:jc w:val="both"/>
      </w:pPr>
      <w:r>
        <w:rPr>
          <w:rFonts w:ascii="Arial" w:cs="Arial" w:eastAsia="Arial" w:hAnsi="Arial"/>
          <w:color w:val="404040"/>
          <w:sz w:val="22"/>
          <w:szCs w:val="22"/>
        </w:rPr>
        <w:t xml:space="preserve">Campo de aplicación: Diagnóstico asistido por IA, sistemas de predicción epidemiológica, chatbots de salud.</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Evaluación de la calidad y representatividad de los datos de entrenamiento.</w:t>
      </w:r>
    </w:p>
    <w:p>
      <w:pPr>
        <w:pStyle w:val="ListParagraph"/>
        <w:numPr>
          <w:ilvl w:val="0"/>
          <w:numId w:val="2"/>
        </w:numPr>
        <w:spacing w:after="60" w:before="60"/>
      </w:pPr>
      <w:r>
        <w:rPr>
          <w:rFonts w:ascii="Arial" w:cs="Arial" w:eastAsia="Arial" w:hAnsi="Arial"/>
          <w:color w:val="404040"/>
          <w:sz w:val="22"/>
          <w:szCs w:val="22"/>
        </w:rPr>
        <w:t xml:space="preserve">Verificación de mecanismos de explicabilidad (XAI).</w:t>
      </w:r>
    </w:p>
    <w:p>
      <w:pPr>
        <w:pStyle w:val="ListParagraph"/>
        <w:numPr>
          <w:ilvl w:val="0"/>
          <w:numId w:val="2"/>
        </w:numPr>
        <w:spacing w:after="60" w:before="60"/>
      </w:pPr>
      <w:r>
        <w:rPr>
          <w:rFonts w:ascii="Arial" w:cs="Arial" w:eastAsia="Arial" w:hAnsi="Arial"/>
          <w:color w:val="404040"/>
          <w:sz w:val="22"/>
          <w:szCs w:val="22"/>
        </w:rPr>
        <w:t xml:space="preserve">Análisis de sesgos algorítmicos y criterios éticos.</w:t>
      </w:r>
    </w:p>
    <w:p>
      <w:pPr>
        <w:pStyle w:val="ListParagraph"/>
        <w:numPr>
          <w:ilvl w:val="0"/>
          <w:numId w:val="2"/>
        </w:numPr>
        <w:spacing w:after="60" w:before="60"/>
      </w:pPr>
      <w:r>
        <w:rPr>
          <w:rFonts w:ascii="Arial" w:cs="Arial" w:eastAsia="Arial" w:hAnsi="Arial"/>
          <w:color w:val="404040"/>
          <w:sz w:val="22"/>
          <w:szCs w:val="22"/>
        </w:rPr>
        <w:t xml:space="preserve">Uso de marcos como el AI Act (UE) y NIST AI RMF.</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D) Auditoría de Computación en la Nube (Cloud Audit)</w:t>
      </w:r>
    </w:p>
    <w:p>
      <w:pPr>
        <w:spacing w:after="100" w:before="80"/>
        <w:jc w:val="both"/>
      </w:pPr>
      <w:r>
        <w:rPr>
          <w:rFonts w:ascii="Arial" w:cs="Arial" w:eastAsia="Arial" w:hAnsi="Arial"/>
          <w:color w:val="404040"/>
          <w:sz w:val="22"/>
          <w:szCs w:val="22"/>
        </w:rPr>
        <w:t xml:space="preserve">Definición: Proceso de evaluación de los entornos de nube pública, privada e híbrida en cuanto a seguridad, disponibilidad, confidencialidad y cumplimiento normativo.</w:t>
      </w:r>
    </w:p>
    <w:p>
      <w:pPr>
        <w:spacing w:after="100" w:before="80"/>
        <w:jc w:val="both"/>
      </w:pPr>
      <w:r>
        <w:rPr>
          <w:rFonts w:ascii="Arial" w:cs="Arial" w:eastAsia="Arial" w:hAnsi="Arial"/>
          <w:color w:val="404040"/>
          <w:sz w:val="22"/>
          <w:szCs w:val="22"/>
        </w:rPr>
        <w:t xml:space="preserve">Campo de aplicación: Jurisdicciones sanitarias que migran expedientes, HIS (Hospital Information Systems) y PACS a servicios como AWS, Azure o Google Cloud.</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Revisión de contratos SLA y cláusulas de privacidad.</w:t>
      </w:r>
    </w:p>
    <w:p>
      <w:pPr>
        <w:pStyle w:val="ListParagraph"/>
        <w:numPr>
          <w:ilvl w:val="0"/>
          <w:numId w:val="2"/>
        </w:numPr>
        <w:spacing w:after="60" w:before="60"/>
      </w:pPr>
      <w:r>
        <w:rPr>
          <w:rFonts w:ascii="Arial" w:cs="Arial" w:eastAsia="Arial" w:hAnsi="Arial"/>
          <w:color w:val="404040"/>
          <w:sz w:val="22"/>
          <w:szCs w:val="22"/>
        </w:rPr>
        <w:t xml:space="preserve">Evaluación de controles de acceso IAM (Identity Access Management).</w:t>
      </w:r>
    </w:p>
    <w:p>
      <w:pPr>
        <w:pStyle w:val="ListParagraph"/>
        <w:numPr>
          <w:ilvl w:val="0"/>
          <w:numId w:val="2"/>
        </w:numPr>
        <w:spacing w:after="60" w:before="60"/>
      </w:pPr>
      <w:r>
        <w:rPr>
          <w:rFonts w:ascii="Arial" w:cs="Arial" w:eastAsia="Arial" w:hAnsi="Arial"/>
          <w:color w:val="404040"/>
          <w:sz w:val="22"/>
          <w:szCs w:val="22"/>
        </w:rPr>
        <w:t xml:space="preserve">Verificación de cifrado en tránsito y en reposo.</w:t>
      </w:r>
    </w:p>
    <w:p>
      <w:pPr>
        <w:pStyle w:val="ListParagraph"/>
        <w:numPr>
          <w:ilvl w:val="0"/>
          <w:numId w:val="2"/>
        </w:numPr>
        <w:spacing w:after="60" w:before="60"/>
      </w:pPr>
      <w:r>
        <w:rPr>
          <w:rFonts w:ascii="Arial" w:cs="Arial" w:eastAsia="Arial" w:hAnsi="Arial"/>
          <w:color w:val="404040"/>
          <w:sz w:val="22"/>
          <w:szCs w:val="22"/>
        </w:rPr>
        <w:t xml:space="preserve">Cumplimiento de NOM-004, NOM-035 y estándares internacionales.</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E) Auditoría de Privacidad y Protección de Datos</w:t>
      </w:r>
    </w:p>
    <w:p>
      <w:pPr>
        <w:spacing w:after="100" w:before="80"/>
        <w:jc w:val="both"/>
      </w:pPr>
      <w:r>
        <w:rPr>
          <w:rFonts w:ascii="Arial" w:cs="Arial" w:eastAsia="Arial" w:hAnsi="Arial"/>
          <w:color w:val="404040"/>
          <w:sz w:val="22"/>
          <w:szCs w:val="22"/>
        </w:rPr>
        <w:t xml:space="preserve">Definición: Evaluación del ciclo de vida de los datos personales en la organización, verificando el cumplimiento con normativas de privacidad.</w:t>
      </w:r>
    </w:p>
    <w:p>
      <w:pPr>
        <w:spacing w:after="100" w:before="80"/>
        <w:jc w:val="both"/>
      </w:pPr>
      <w:r>
        <w:rPr>
          <w:rFonts w:ascii="Arial" w:cs="Arial" w:eastAsia="Arial" w:hAnsi="Arial"/>
          <w:color w:val="404040"/>
          <w:sz w:val="22"/>
          <w:szCs w:val="22"/>
        </w:rPr>
        <w:t xml:space="preserve">Campo de aplicación: Registros de pacientes, bases de datos del IMSS/ISSSTE/SSA, padrones de beneficiarios.</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Revisión del aviso de privacidad, ARCO derechos y transferencias de datos.</w:t>
      </w:r>
    </w:p>
    <w:p>
      <w:pPr>
        <w:pStyle w:val="ListParagraph"/>
        <w:numPr>
          <w:ilvl w:val="0"/>
          <w:numId w:val="2"/>
        </w:numPr>
        <w:spacing w:after="60" w:before="60"/>
      </w:pPr>
      <w:r>
        <w:rPr>
          <w:rFonts w:ascii="Arial" w:cs="Arial" w:eastAsia="Arial" w:hAnsi="Arial"/>
          <w:color w:val="404040"/>
          <w:sz w:val="22"/>
          <w:szCs w:val="22"/>
        </w:rPr>
        <w:t xml:space="preserve">Marco normativo: Ley Federal de Protección de Datos Personales (LFPDPPP), NOM-024-SSA3.</w:t>
      </w:r>
    </w:p>
    <w:p>
      <w:pPr>
        <w:pStyle w:val="ListParagraph"/>
        <w:numPr>
          <w:ilvl w:val="0"/>
          <w:numId w:val="2"/>
        </w:numPr>
        <w:spacing w:after="60" w:before="60"/>
      </w:pPr>
      <w:r>
        <w:rPr>
          <w:rFonts w:ascii="Arial" w:cs="Arial" w:eastAsia="Arial" w:hAnsi="Arial"/>
          <w:color w:val="404040"/>
          <w:sz w:val="22"/>
          <w:szCs w:val="22"/>
        </w:rPr>
        <w:t xml:space="preserve">Mapeo de flujos de datos sensibles (Data Flow Mapping).</w:t>
      </w:r>
    </w:p>
    <w:p>
      <w:pPr>
        <w:pStyle w:val="ListParagraph"/>
        <w:numPr>
          <w:ilvl w:val="0"/>
          <w:numId w:val="2"/>
        </w:numPr>
        <w:spacing w:after="60" w:before="60"/>
      </w:pPr>
      <w:r>
        <w:rPr>
          <w:rFonts w:ascii="Arial" w:cs="Arial" w:eastAsia="Arial" w:hAnsi="Arial"/>
          <w:color w:val="404040"/>
          <w:sz w:val="22"/>
          <w:szCs w:val="22"/>
        </w:rPr>
        <w:t xml:space="preserve">Análisis de impacto en privacidad (PIA/DPIA).</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F) Auditoría DevSecOps y de Desarrollo Seguro</w:t>
      </w:r>
    </w:p>
    <w:p>
      <w:pPr>
        <w:spacing w:after="100" w:before="80"/>
        <w:jc w:val="both"/>
      </w:pPr>
      <w:r>
        <w:rPr>
          <w:rFonts w:ascii="Arial" w:cs="Arial" w:eastAsia="Arial" w:hAnsi="Arial"/>
          <w:color w:val="404040"/>
          <w:sz w:val="22"/>
          <w:szCs w:val="22"/>
        </w:rPr>
        <w:t xml:space="preserve">Definición: Revisión de los procesos de desarrollo de software para verificar que la seguridad esté integrada desde las fases tempranas del ciclo de vida (SDLC).</w:t>
      </w:r>
    </w:p>
    <w:p>
      <w:pPr>
        <w:spacing w:after="100" w:before="80"/>
        <w:jc w:val="both"/>
      </w:pPr>
      <w:r>
        <w:rPr>
          <w:rFonts w:ascii="Arial" w:cs="Arial" w:eastAsia="Arial" w:hAnsi="Arial"/>
          <w:color w:val="404040"/>
          <w:sz w:val="22"/>
          <w:szCs w:val="22"/>
        </w:rPr>
        <w:t xml:space="preserve">Campo de aplicación: Sistemas internos de control de citas, aplicaciones móviles de salud, módulos de reporteo epidemiológico.</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Revisión de repositorios de código con herramientas SAST/DAST.</w:t>
      </w:r>
    </w:p>
    <w:p>
      <w:pPr>
        <w:pStyle w:val="ListParagraph"/>
        <w:numPr>
          <w:ilvl w:val="0"/>
          <w:numId w:val="2"/>
        </w:numPr>
        <w:spacing w:after="60" w:before="60"/>
      </w:pPr>
      <w:r>
        <w:rPr>
          <w:rFonts w:ascii="Arial" w:cs="Arial" w:eastAsia="Arial" w:hAnsi="Arial"/>
          <w:color w:val="404040"/>
          <w:sz w:val="22"/>
          <w:szCs w:val="22"/>
        </w:rPr>
        <w:t xml:space="preserve">Verificación de pipelines CI/CD seguros.</w:t>
      </w:r>
    </w:p>
    <w:p>
      <w:pPr>
        <w:pStyle w:val="ListParagraph"/>
        <w:numPr>
          <w:ilvl w:val="0"/>
          <w:numId w:val="2"/>
        </w:numPr>
        <w:spacing w:after="60" w:before="60"/>
      </w:pPr>
      <w:r>
        <w:rPr>
          <w:rFonts w:ascii="Arial" w:cs="Arial" w:eastAsia="Arial" w:hAnsi="Arial"/>
          <w:color w:val="404040"/>
          <w:sz w:val="22"/>
          <w:szCs w:val="22"/>
        </w:rPr>
        <w:t xml:space="preserve">Evaluación de gestión de secretos y dependencias vulnerables.</w:t>
      </w:r>
    </w:p>
    <w:p>
      <w:pPr>
        <w:pStyle w:val="ListParagraph"/>
        <w:numPr>
          <w:ilvl w:val="0"/>
          <w:numId w:val="2"/>
        </w:numPr>
        <w:spacing w:after="60" w:before="60"/>
      </w:pPr>
      <w:r>
        <w:rPr>
          <w:rFonts w:ascii="Arial" w:cs="Arial" w:eastAsia="Arial" w:hAnsi="Arial"/>
          <w:color w:val="404040"/>
          <w:sz w:val="22"/>
          <w:szCs w:val="22"/>
        </w:rPr>
        <w:t xml:space="preserve">Referencia a OWASP Top 10 y ASVS.</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G) Auditoría de Blockchain e Identidad Digital</w:t>
      </w:r>
    </w:p>
    <w:p>
      <w:pPr>
        <w:spacing w:after="100" w:before="80"/>
        <w:jc w:val="both"/>
      </w:pPr>
      <w:r>
        <w:rPr>
          <w:rFonts w:ascii="Arial" w:cs="Arial" w:eastAsia="Arial" w:hAnsi="Arial"/>
          <w:color w:val="404040"/>
          <w:sz w:val="22"/>
          <w:szCs w:val="22"/>
        </w:rPr>
        <w:t xml:space="preserve">Definición: Evaluación de sistemas basados en tecnología blockchain para verificar integridad, trazabilidad e inmutabilidad de registros.</w:t>
      </w:r>
    </w:p>
    <w:p>
      <w:pPr>
        <w:spacing w:after="100" w:before="80"/>
        <w:jc w:val="both"/>
      </w:pPr>
      <w:r>
        <w:rPr>
          <w:rFonts w:ascii="Arial" w:cs="Arial" w:eastAsia="Arial" w:hAnsi="Arial"/>
          <w:color w:val="404040"/>
          <w:sz w:val="22"/>
          <w:szCs w:val="22"/>
        </w:rPr>
        <w:t xml:space="preserve">Campo de aplicación: Certificados digitales de salud, trazabilidad de medicamentos en cadena de suministro, identidad digital de pacientes.</w:t>
      </w:r>
    </w:p>
    <w:p>
      <w:pPr>
        <w:spacing w:after="100" w:before="80"/>
        <w:jc w:val="left"/>
      </w:pPr>
      <w:r>
        <w:rPr>
          <w:rFonts w:ascii="Arial" w:cs="Arial" w:eastAsia="Arial" w:hAnsi="Arial"/>
          <w:b/>
          <w:bCs/>
          <w:color w:val="404040"/>
          <w:sz w:val="22"/>
          <w:szCs w:val="22"/>
        </w:rPr>
        <w:t xml:space="preserve">Características:</w:t>
      </w:r>
    </w:p>
    <w:p>
      <w:pPr>
        <w:pStyle w:val="ListParagraph"/>
        <w:numPr>
          <w:ilvl w:val="0"/>
          <w:numId w:val="2"/>
        </w:numPr>
        <w:spacing w:after="60" w:before="60"/>
      </w:pPr>
      <w:r>
        <w:rPr>
          <w:rFonts w:ascii="Arial" w:cs="Arial" w:eastAsia="Arial" w:hAnsi="Arial"/>
          <w:color w:val="404040"/>
          <w:sz w:val="22"/>
          <w:szCs w:val="22"/>
        </w:rPr>
        <w:t xml:space="preserve">Verificación de contratos inteligentes (smart contracts).</w:t>
      </w:r>
    </w:p>
    <w:p>
      <w:pPr>
        <w:pStyle w:val="ListParagraph"/>
        <w:numPr>
          <w:ilvl w:val="0"/>
          <w:numId w:val="2"/>
        </w:numPr>
        <w:spacing w:after="60" w:before="60"/>
      </w:pPr>
      <w:r>
        <w:rPr>
          <w:rFonts w:ascii="Arial" w:cs="Arial" w:eastAsia="Arial" w:hAnsi="Arial"/>
          <w:color w:val="404040"/>
          <w:sz w:val="22"/>
          <w:szCs w:val="22"/>
        </w:rPr>
        <w:t xml:space="preserve">Evaluación de gobernanza de la red blockchain.</w:t>
      </w:r>
    </w:p>
    <w:p>
      <w:pPr>
        <w:pStyle w:val="ListParagraph"/>
        <w:numPr>
          <w:ilvl w:val="0"/>
          <w:numId w:val="2"/>
        </w:numPr>
        <w:spacing w:after="60" w:before="60"/>
      </w:pPr>
      <w:r>
        <w:rPr>
          <w:rFonts w:ascii="Arial" w:cs="Arial" w:eastAsia="Arial" w:hAnsi="Arial"/>
          <w:color w:val="404040"/>
          <w:sz w:val="22"/>
          <w:szCs w:val="22"/>
        </w:rPr>
        <w:t xml:space="preserve">Análisis de claves criptográficas y wallets institucionales.</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1.3 Características Comunes de las Tendencias Emergentes</w:t>
      </w:r>
    </w:p>
    <w:p>
      <w:pPr>
        <w:pStyle w:val="ListParagraph"/>
        <w:numPr>
          <w:ilvl w:val="0"/>
          <w:numId w:val="2"/>
        </w:numPr>
        <w:spacing w:after="60" w:before="60"/>
      </w:pPr>
      <w:r>
        <w:rPr>
          <w:rFonts w:ascii="Arial" w:cs="Arial" w:eastAsia="Arial" w:hAnsi="Arial"/>
          <w:color w:val="404040"/>
          <w:sz w:val="22"/>
          <w:szCs w:val="22"/>
        </w:rPr>
        <w:t xml:space="preserve">Automatización de procesos de auditoría.</w:t>
      </w:r>
    </w:p>
    <w:p>
      <w:pPr>
        <w:pStyle w:val="ListParagraph"/>
        <w:numPr>
          <w:ilvl w:val="0"/>
          <w:numId w:val="2"/>
        </w:numPr>
        <w:spacing w:after="60" w:before="60"/>
      </w:pPr>
      <w:r>
        <w:rPr>
          <w:rFonts w:ascii="Arial" w:cs="Arial" w:eastAsia="Arial" w:hAnsi="Arial"/>
          <w:color w:val="404040"/>
          <w:sz w:val="22"/>
          <w:szCs w:val="22"/>
        </w:rPr>
        <w:t xml:space="preserve">Orientación a la gestión proactiva del riesgo.</w:t>
      </w:r>
    </w:p>
    <w:p>
      <w:pPr>
        <w:pStyle w:val="ListParagraph"/>
        <w:numPr>
          <w:ilvl w:val="0"/>
          <w:numId w:val="2"/>
        </w:numPr>
        <w:spacing w:after="60" w:before="60"/>
      </w:pPr>
      <w:r>
        <w:rPr>
          <w:rFonts w:ascii="Arial" w:cs="Arial" w:eastAsia="Arial" w:hAnsi="Arial"/>
          <w:color w:val="404040"/>
          <w:sz w:val="22"/>
          <w:szCs w:val="22"/>
        </w:rPr>
        <w:t xml:space="preserve">Integración con marcos internacionales (ISO, COBIT, NIST).</w:t>
      </w:r>
    </w:p>
    <w:p>
      <w:pPr>
        <w:pStyle w:val="ListParagraph"/>
        <w:numPr>
          <w:ilvl w:val="0"/>
          <w:numId w:val="2"/>
        </w:numPr>
        <w:spacing w:after="60" w:before="60"/>
      </w:pPr>
      <w:r>
        <w:rPr>
          <w:rFonts w:ascii="Arial" w:cs="Arial" w:eastAsia="Arial" w:hAnsi="Arial"/>
          <w:color w:val="404040"/>
          <w:sz w:val="22"/>
          <w:szCs w:val="22"/>
        </w:rPr>
        <w:t xml:space="preserve">Enfoque en datos masivos (Big Data y Analytics).</w:t>
      </w:r>
    </w:p>
    <w:p>
      <w:pPr>
        <w:pStyle w:val="ListParagraph"/>
        <w:numPr>
          <w:ilvl w:val="0"/>
          <w:numId w:val="2"/>
        </w:numPr>
        <w:spacing w:after="60" w:before="60"/>
      </w:pPr>
      <w:r>
        <w:rPr>
          <w:rFonts w:ascii="Arial" w:cs="Arial" w:eastAsia="Arial" w:hAnsi="Arial"/>
          <w:color w:val="404040"/>
          <w:sz w:val="22"/>
          <w:szCs w:val="22"/>
        </w:rPr>
        <w:t xml:space="preserve">Requerimiento de competencias multidisciplinarias del auditor.</w:t>
      </w:r>
    </w:p>
    <w:p>
      <w:pPr>
        <w:pStyle w:val="ListParagraph"/>
        <w:numPr>
          <w:ilvl w:val="0"/>
          <w:numId w:val="2"/>
        </w:numPr>
        <w:spacing w:after="60" w:before="60"/>
      </w:pPr>
      <w:r>
        <w:rPr>
          <w:rFonts w:ascii="Arial" w:cs="Arial" w:eastAsia="Arial" w:hAnsi="Arial"/>
          <w:color w:val="404040"/>
          <w:sz w:val="22"/>
          <w:szCs w:val="22"/>
        </w:rPr>
        <w:t xml:space="preserve">Resultados en tiempo real con dashboards e indicadores clave (KPI/KRI).</w:t>
      </w:r>
    </w:p>
    <w:p>
      <w:r>
        <w:br w:type="page"/>
      </w:r>
    </w:p>
    <w:p>
      <w:pPr>
        <w:pStyle w:val="Heading1"/>
        <w:pBdr>
          <w:bottom w:val="single" w:color="2E75B6" w:sz="8" w:space="6"/>
        </w:pBdr>
        <w:spacing w:after="200" w:before="360"/>
      </w:pPr>
      <w:r>
        <w:rPr>
          <w:rFonts w:ascii="Arial" w:cs="Arial" w:eastAsia="Arial" w:hAnsi="Arial"/>
          <w:b/>
          <w:bCs/>
          <w:color w:val="1F4E79"/>
          <w:sz w:val="32"/>
          <w:szCs w:val="32"/>
        </w:rPr>
        <w:t xml:space="preserve">2. Identificación del Área de Auditoría en la Jurisdicción Sanitaria</w:t>
      </w:r>
    </w:p>
    <w:p>
      <w:pPr>
        <w:spacing w:after="100" w:before="80"/>
        <w:jc w:val="both"/>
      </w:pPr>
      <w:r>
        <w:rPr>
          <w:rFonts w:ascii="Arial" w:cs="Arial" w:eastAsia="Arial" w:hAnsi="Arial"/>
          <w:color w:val="404040"/>
          <w:sz w:val="22"/>
          <w:szCs w:val="22"/>
        </w:rPr>
        <w:t xml:space="preserve">Una jurisdicción sanitaria es la unidad administrativa descentralizada del sistema de salud pública responsable de supervisar y coordinar los servicios de salud en un territorio determinado. Cuenta con diversas áreas de tecnología susceptibles de auditoría informática.</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2.1 Descripción General de la Organización</w:t>
      </w:r>
    </w:p>
    <w:p>
      <w:pPr>
        <w:spacing w:after="100" w:before="80"/>
        <w:jc w:val="both"/>
      </w:pPr>
      <w:r>
        <w:rPr>
          <w:rFonts w:ascii="Arial" w:cs="Arial" w:eastAsia="Arial" w:hAnsi="Arial"/>
          <w:color w:val="404040"/>
          <w:sz w:val="22"/>
          <w:szCs w:val="22"/>
        </w:rPr>
        <w:t xml:space="preserve">Organización: Jurisdicción Sanitaria (Sector Salud Pública – SSA / Secretaría de Salud de Oaxaca)</w:t>
      </w:r>
    </w:p>
    <w:p>
      <w:pPr>
        <w:spacing w:after="100" w:before="80"/>
        <w:jc w:val="both"/>
      </w:pPr>
      <w:r>
        <w:rPr>
          <w:rFonts w:ascii="Arial" w:cs="Arial" w:eastAsia="Arial" w:hAnsi="Arial"/>
          <w:color w:val="404040"/>
          <w:sz w:val="22"/>
          <w:szCs w:val="22"/>
        </w:rPr>
        <w:t xml:space="preserve">Misión: Coordinar, supervisar y ejecutar programas de salud pública para la población del área jurisdiccional, garantizando servicios de atención médica oportuna, preventiva y curativa.</w:t>
      </w:r>
    </w:p>
    <w:p>
      <w:pPr>
        <w:spacing w:after="100" w:before="80"/>
        <w:jc w:val="left"/>
      </w:pPr>
      <w:r>
        <w:rPr>
          <w:rFonts w:ascii="Arial" w:cs="Arial" w:eastAsia="Arial" w:hAnsi="Arial"/>
          <w:b/>
          <w:bCs/>
          <w:color w:val="404040"/>
          <w:sz w:val="22"/>
          <w:szCs w:val="22"/>
        </w:rPr>
        <w:t xml:space="preserve">Áreas principales de TI:</w:t>
      </w:r>
    </w:p>
    <w:p>
      <w:pPr>
        <w:pStyle w:val="ListParagraph"/>
        <w:numPr>
          <w:ilvl w:val="0"/>
          <w:numId w:val="2"/>
        </w:numPr>
        <w:spacing w:after="60" w:before="60"/>
      </w:pPr>
      <w:r>
        <w:rPr>
          <w:rFonts w:ascii="Arial" w:cs="Arial" w:eastAsia="Arial" w:hAnsi="Arial"/>
          <w:color w:val="404040"/>
          <w:sz w:val="22"/>
          <w:szCs w:val="22"/>
        </w:rPr>
        <w:t xml:space="preserve">Expediente Clínico Electrónico (ECE) – Sistema SAEH / HIS.</w:t>
      </w:r>
    </w:p>
    <w:p>
      <w:pPr>
        <w:pStyle w:val="ListParagraph"/>
        <w:numPr>
          <w:ilvl w:val="0"/>
          <w:numId w:val="2"/>
        </w:numPr>
        <w:spacing w:after="60" w:before="60"/>
      </w:pPr>
      <w:r>
        <w:rPr>
          <w:rFonts w:ascii="Arial" w:cs="Arial" w:eastAsia="Arial" w:hAnsi="Arial"/>
          <w:color w:val="404040"/>
          <w:sz w:val="22"/>
          <w:szCs w:val="22"/>
        </w:rPr>
        <w:t xml:space="preserve">Infraestructura de red y telecomunicaciones.</w:t>
      </w:r>
    </w:p>
    <w:p>
      <w:pPr>
        <w:pStyle w:val="ListParagraph"/>
        <w:numPr>
          <w:ilvl w:val="0"/>
          <w:numId w:val="2"/>
        </w:numPr>
        <w:spacing w:after="60" w:before="60"/>
      </w:pPr>
      <w:r>
        <w:rPr>
          <w:rFonts w:ascii="Arial" w:cs="Arial" w:eastAsia="Arial" w:hAnsi="Arial"/>
          <w:color w:val="404040"/>
          <w:sz w:val="22"/>
          <w:szCs w:val="22"/>
        </w:rPr>
        <w:t xml:space="preserve">Sistema de Información en Salud (SIS/SINAIS/SUAVE).</w:t>
      </w:r>
    </w:p>
    <w:p>
      <w:pPr>
        <w:pStyle w:val="ListParagraph"/>
        <w:numPr>
          <w:ilvl w:val="0"/>
          <w:numId w:val="2"/>
        </w:numPr>
        <w:spacing w:after="60" w:before="60"/>
      </w:pPr>
      <w:r>
        <w:rPr>
          <w:rFonts w:ascii="Arial" w:cs="Arial" w:eastAsia="Arial" w:hAnsi="Arial"/>
          <w:color w:val="404040"/>
          <w:sz w:val="22"/>
          <w:szCs w:val="22"/>
        </w:rPr>
        <w:t xml:space="preserve">Sistema de Gestión de Almacenes y Medicamentos.</w:t>
      </w:r>
    </w:p>
    <w:p>
      <w:pPr>
        <w:pStyle w:val="ListParagraph"/>
        <w:numPr>
          <w:ilvl w:val="0"/>
          <w:numId w:val="2"/>
        </w:numPr>
        <w:spacing w:after="60" w:before="60"/>
      </w:pPr>
      <w:r>
        <w:rPr>
          <w:rFonts w:ascii="Arial" w:cs="Arial" w:eastAsia="Arial" w:hAnsi="Arial"/>
          <w:color w:val="404040"/>
          <w:sz w:val="22"/>
          <w:szCs w:val="22"/>
        </w:rPr>
        <w:t xml:space="preserve">Plataformas de telemedicina y consulta remota.</w:t>
      </w:r>
    </w:p>
    <w:p>
      <w:pPr>
        <w:pStyle w:val="ListParagraph"/>
        <w:numPr>
          <w:ilvl w:val="0"/>
          <w:numId w:val="2"/>
        </w:numPr>
        <w:spacing w:after="60" w:before="60"/>
      </w:pPr>
      <w:r>
        <w:rPr>
          <w:rFonts w:ascii="Arial" w:cs="Arial" w:eastAsia="Arial" w:hAnsi="Arial"/>
          <w:color w:val="404040"/>
          <w:sz w:val="22"/>
          <w:szCs w:val="22"/>
        </w:rPr>
        <w:t xml:space="preserve">Seguridad informática y acceso a sistemas.</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2.2 Área Seleccionada para la Auditoría</w:t>
      </w:r>
    </w:p>
    <w:p>
      <w:pPr>
        <w:spacing w:after="120" w:before="120"/>
      </w:pPr>
      <w:r>
        <w:rPr>
          <w:rFonts w:ascii="Arial" w:cs="Arial" w:eastAsia="Arial" w:hAnsi="Arial"/>
          <w:b/>
          <w:bCs/>
          <w:color w:val="1F4E79"/>
          <w:sz w:val="24"/>
          <w:szCs w:val="24"/>
        </w:rPr>
        <w:t xml:space="preserve">Área: Sistema de Expediente Clínico Electrónico (ECE) y Gestión de Datos de Pacientes</w:t>
      </w:r>
    </w:p>
    <w:p>
      <w:pPr>
        <w:spacing w:after="100" w:before="80"/>
        <w:jc w:val="both"/>
      </w:pPr>
      <w:r>
        <w:rPr>
          <w:rFonts w:ascii="Arial" w:cs="Arial" w:eastAsia="Arial" w:hAnsi="Arial"/>
          <w:color w:val="404040"/>
          <w:sz w:val="22"/>
          <w:szCs w:val="22"/>
        </w:rPr>
        <w:t xml:space="preserve">Justificación: Esta área es crítica porque concentra información sensible de salud de los pacientes (datos personales sensibles), está sujeta a normativas nacionales e internacionales estrictas (NOM-004, NOM-024, LFPDPPP), y cualquier brecha o fallo puede comprometer la atención médica, la privacidad del paciente y la continuidad operativa.</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2.3 Proceso de Auditoría Propuesto</w:t>
      </w:r>
    </w:p>
    <w:p>
      <w:pPr>
        <w:pStyle w:val="Heading3"/>
        <w:spacing w:after="100" w:before="200"/>
      </w:pPr>
      <w:r>
        <w:rPr>
          <w:rFonts w:ascii="Arial" w:cs="Arial" w:eastAsia="Arial" w:hAnsi="Arial"/>
          <w:b/>
          <w:bCs/>
          <w:color w:val="1F4E79"/>
          <w:sz w:val="24"/>
          <w:szCs w:val="24"/>
        </w:rPr>
        <w:t xml:space="preserve">Fase 1 – Planificación</w:t>
      </w:r>
    </w:p>
    <w:p>
      <w:pPr>
        <w:pStyle w:val="ListParagraph"/>
        <w:numPr>
          <w:ilvl w:val="0"/>
          <w:numId w:val="2"/>
        </w:numPr>
        <w:spacing w:after="60" w:before="60"/>
      </w:pPr>
      <w:r>
        <w:rPr>
          <w:rFonts w:ascii="Arial" w:cs="Arial" w:eastAsia="Arial" w:hAnsi="Arial"/>
          <w:color w:val="404040"/>
          <w:sz w:val="22"/>
          <w:szCs w:val="22"/>
        </w:rPr>
        <w:t xml:space="preserve">Definir el alcance: Módulos de registro, consulta, prescripción y archivo del ECE.</w:t>
      </w:r>
    </w:p>
    <w:p>
      <w:pPr>
        <w:pStyle w:val="ListParagraph"/>
        <w:numPr>
          <w:ilvl w:val="0"/>
          <w:numId w:val="2"/>
        </w:numPr>
        <w:spacing w:after="60" w:before="60"/>
      </w:pPr>
      <w:r>
        <w:rPr>
          <w:rFonts w:ascii="Arial" w:cs="Arial" w:eastAsia="Arial" w:hAnsi="Arial"/>
          <w:color w:val="404040"/>
          <w:sz w:val="22"/>
          <w:szCs w:val="22"/>
        </w:rPr>
        <w:t xml:space="preserve">Identificar normativa aplicable: NOM-004-SSA3, NOM-024-SSA3, LFPDPPP, ISO/IEC 27001.</w:t>
      </w:r>
    </w:p>
    <w:p>
      <w:pPr>
        <w:pStyle w:val="ListParagraph"/>
        <w:numPr>
          <w:ilvl w:val="0"/>
          <w:numId w:val="2"/>
        </w:numPr>
        <w:spacing w:after="60" w:before="60"/>
      </w:pPr>
      <w:r>
        <w:rPr>
          <w:rFonts w:ascii="Arial" w:cs="Arial" w:eastAsia="Arial" w:hAnsi="Arial"/>
          <w:color w:val="404040"/>
          <w:sz w:val="22"/>
          <w:szCs w:val="22"/>
        </w:rPr>
        <w:t xml:space="preserve">Elaborar el plan de auditoría y la matriz de riesgos.</w:t>
      </w:r>
    </w:p>
    <w:p>
      <w:pPr>
        <w:pStyle w:val="ListParagraph"/>
        <w:numPr>
          <w:ilvl w:val="0"/>
          <w:numId w:val="2"/>
        </w:numPr>
        <w:spacing w:after="60" w:before="60"/>
      </w:pPr>
      <w:r>
        <w:rPr>
          <w:rFonts w:ascii="Arial" w:cs="Arial" w:eastAsia="Arial" w:hAnsi="Arial"/>
          <w:color w:val="404040"/>
          <w:sz w:val="22"/>
          <w:szCs w:val="22"/>
        </w:rPr>
        <w:t xml:space="preserve">Identificar a los responsables del sistema y custodios de datos.</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Fase 2 – Levantamiento de Información</w:t>
      </w:r>
    </w:p>
    <w:p>
      <w:pPr>
        <w:pStyle w:val="ListParagraph"/>
        <w:numPr>
          <w:ilvl w:val="0"/>
          <w:numId w:val="2"/>
        </w:numPr>
        <w:spacing w:after="60" w:before="60"/>
      </w:pPr>
      <w:r>
        <w:rPr>
          <w:rFonts w:ascii="Arial" w:cs="Arial" w:eastAsia="Arial" w:hAnsi="Arial"/>
          <w:color w:val="404040"/>
          <w:sz w:val="22"/>
          <w:szCs w:val="22"/>
        </w:rPr>
        <w:t xml:space="preserve">Entrevistas con el Jefe de Informática, médicos y enfermeras usuarios del sistema.</w:t>
      </w:r>
    </w:p>
    <w:p>
      <w:pPr>
        <w:pStyle w:val="ListParagraph"/>
        <w:numPr>
          <w:ilvl w:val="0"/>
          <w:numId w:val="2"/>
        </w:numPr>
        <w:spacing w:after="60" w:before="60"/>
      </w:pPr>
      <w:r>
        <w:rPr>
          <w:rFonts w:ascii="Arial" w:cs="Arial" w:eastAsia="Arial" w:hAnsi="Arial"/>
          <w:color w:val="404040"/>
          <w:sz w:val="22"/>
          <w:szCs w:val="22"/>
        </w:rPr>
        <w:t xml:space="preserve">Revisión de políticas de seguridad, procedimientos y manuales del ECE.</w:t>
      </w:r>
    </w:p>
    <w:p>
      <w:pPr>
        <w:pStyle w:val="ListParagraph"/>
        <w:numPr>
          <w:ilvl w:val="0"/>
          <w:numId w:val="2"/>
        </w:numPr>
        <w:spacing w:after="60" w:before="60"/>
      </w:pPr>
      <w:r>
        <w:rPr>
          <w:rFonts w:ascii="Arial" w:cs="Arial" w:eastAsia="Arial" w:hAnsi="Arial"/>
          <w:color w:val="404040"/>
          <w:sz w:val="22"/>
          <w:szCs w:val="22"/>
        </w:rPr>
        <w:t xml:space="preserve">Solicitar inventario de equipos, servidores y software instalado.</w:t>
      </w:r>
    </w:p>
    <w:p>
      <w:pPr>
        <w:pStyle w:val="ListParagraph"/>
        <w:numPr>
          <w:ilvl w:val="0"/>
          <w:numId w:val="2"/>
        </w:numPr>
        <w:spacing w:after="60" w:before="60"/>
      </w:pPr>
      <w:r>
        <w:rPr>
          <w:rFonts w:ascii="Arial" w:cs="Arial" w:eastAsia="Arial" w:hAnsi="Arial"/>
          <w:color w:val="404040"/>
          <w:sz w:val="22"/>
          <w:szCs w:val="22"/>
        </w:rPr>
        <w:t xml:space="preserve">Revisión de bitácoras de acceso, logs del sistema y control de usuarios.</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Fase 3 – Aplicación de Técnicas y Herramientas</w:t>
      </w:r>
    </w:p>
    <w:p>
      <w:pPr>
        <w:pStyle w:val="ListParagraph"/>
        <w:numPr>
          <w:ilvl w:val="0"/>
          <w:numId w:val="2"/>
        </w:numPr>
        <w:spacing w:after="60" w:before="60"/>
      </w:pPr>
      <w:r>
        <w:rPr>
          <w:rFonts w:ascii="Arial" w:cs="Arial" w:eastAsia="Arial" w:hAnsi="Arial"/>
          <w:color w:val="404040"/>
          <w:sz w:val="22"/>
          <w:szCs w:val="22"/>
        </w:rPr>
        <w:t xml:space="preserve">Técnicas: Observación directa, entrevistas estructuradas, revisión documental, pruebas de controles, análisis de vulnerabilidades.</w:t>
      </w:r>
    </w:p>
    <w:p>
      <w:pPr>
        <w:pStyle w:val="ListParagraph"/>
        <w:numPr>
          <w:ilvl w:val="0"/>
          <w:numId w:val="2"/>
        </w:numPr>
        <w:spacing w:after="60" w:before="60"/>
      </w:pPr>
      <w:r>
        <w:rPr>
          <w:rFonts w:ascii="Arial" w:cs="Arial" w:eastAsia="Arial" w:hAnsi="Arial"/>
          <w:color w:val="404040"/>
          <w:sz w:val="22"/>
          <w:szCs w:val="22"/>
        </w:rPr>
        <w:t xml:space="preserve">Herramientas: IDEA / ACL para análisis de datos; Nessus / OpenVAS para escaneo de vulnerabilidades; Wireshark para análisis de tráfico de red; Checklist basado en ISO 27001 y COBIT 2019.</w:t>
      </w:r>
    </w:p>
    <w:p>
      <w:pPr>
        <w:pStyle w:val="ListParagraph"/>
        <w:numPr>
          <w:ilvl w:val="0"/>
          <w:numId w:val="2"/>
        </w:numPr>
        <w:spacing w:after="60" w:before="60"/>
      </w:pPr>
      <w:r>
        <w:rPr>
          <w:rFonts w:ascii="Arial" w:cs="Arial" w:eastAsia="Arial" w:hAnsi="Arial"/>
          <w:color w:val="404040"/>
          <w:sz w:val="22"/>
          <w:szCs w:val="22"/>
        </w:rPr>
        <w:t xml:space="preserve">Normas aplicadas: NOM-004-SSA3 (Expediente Clínico), NOM-024-SSA3 (Sistemas de información en salud), ISO/IEC 27001 (Seguridad de la Información), COBIT 2019 (Gobierno de TI).</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Fase 4 – Evaluación y Análisis</w:t>
      </w:r>
    </w:p>
    <w:p>
      <w:pPr>
        <w:pStyle w:val="ListParagraph"/>
        <w:numPr>
          <w:ilvl w:val="0"/>
          <w:numId w:val="2"/>
        </w:numPr>
        <w:spacing w:after="60" w:before="60"/>
      </w:pPr>
      <w:r>
        <w:rPr>
          <w:rFonts w:ascii="Arial" w:cs="Arial" w:eastAsia="Arial" w:hAnsi="Arial"/>
          <w:color w:val="404040"/>
          <w:sz w:val="22"/>
          <w:szCs w:val="22"/>
        </w:rPr>
        <w:t xml:space="preserve">Identificar brechas entre la situación actual y los controles requeridos.</w:t>
      </w:r>
    </w:p>
    <w:p>
      <w:pPr>
        <w:pStyle w:val="ListParagraph"/>
        <w:numPr>
          <w:ilvl w:val="0"/>
          <w:numId w:val="2"/>
        </w:numPr>
        <w:spacing w:after="60" w:before="60"/>
      </w:pPr>
      <w:r>
        <w:rPr>
          <w:rFonts w:ascii="Arial" w:cs="Arial" w:eastAsia="Arial" w:hAnsi="Arial"/>
          <w:color w:val="404040"/>
          <w:sz w:val="22"/>
          <w:szCs w:val="22"/>
        </w:rPr>
        <w:t xml:space="preserve">Evaluar el nivel de riesgo (alto, medio, bajo) para cada hallazgo.</w:t>
      </w:r>
    </w:p>
    <w:p>
      <w:pPr>
        <w:pStyle w:val="ListParagraph"/>
        <w:numPr>
          <w:ilvl w:val="0"/>
          <w:numId w:val="2"/>
        </w:numPr>
        <w:spacing w:after="60" w:before="60"/>
      </w:pPr>
      <w:r>
        <w:rPr>
          <w:rFonts w:ascii="Arial" w:cs="Arial" w:eastAsia="Arial" w:hAnsi="Arial"/>
          <w:color w:val="404040"/>
          <w:sz w:val="22"/>
          <w:szCs w:val="22"/>
        </w:rPr>
        <w:t xml:space="preserve">Verificar confidencialidad, integridad y disponibilidad del expediente clínico.</w:t>
      </w:r>
    </w:p>
    <w:p>
      <w:pPr>
        <w:pStyle w:val="ListParagraph"/>
        <w:numPr>
          <w:ilvl w:val="0"/>
          <w:numId w:val="2"/>
        </w:numPr>
        <w:spacing w:after="60" w:before="60"/>
      </w:pPr>
      <w:r>
        <w:rPr>
          <w:rFonts w:ascii="Arial" w:cs="Arial" w:eastAsia="Arial" w:hAnsi="Arial"/>
          <w:color w:val="404040"/>
          <w:sz w:val="22"/>
          <w:szCs w:val="22"/>
        </w:rPr>
        <w:t xml:space="preserve">Revisar mecanismos de backup, recuperación y continuidad del negocio.</w:t>
      </w:r>
    </w:p>
    <w:p>
      <w:pPr>
        <w:spacing w:after="0" w:before="0"/>
      </w:pPr>
      <w:r>
        <w:rPr>
          <w:sz w:val="10"/>
          <w:szCs w:val="10"/>
        </w:rPr>
        <w:t xml:space="preserve"/>
      </w:r>
    </w:p>
    <w:p>
      <w:pPr>
        <w:pStyle w:val="Heading3"/>
        <w:spacing w:after="100" w:before="200"/>
      </w:pPr>
      <w:r>
        <w:rPr>
          <w:rFonts w:ascii="Arial" w:cs="Arial" w:eastAsia="Arial" w:hAnsi="Arial"/>
          <w:b/>
          <w:bCs/>
          <w:color w:val="1F4E79"/>
          <w:sz w:val="24"/>
          <w:szCs w:val="24"/>
        </w:rPr>
        <w:t xml:space="preserve">Fase 5 – Informe y Seguimiento</w:t>
      </w:r>
    </w:p>
    <w:p>
      <w:pPr>
        <w:pStyle w:val="ListParagraph"/>
        <w:numPr>
          <w:ilvl w:val="0"/>
          <w:numId w:val="2"/>
        </w:numPr>
        <w:spacing w:after="60" w:before="60"/>
      </w:pPr>
      <w:r>
        <w:rPr>
          <w:rFonts w:ascii="Arial" w:cs="Arial" w:eastAsia="Arial" w:hAnsi="Arial"/>
          <w:color w:val="404040"/>
          <w:sz w:val="22"/>
          <w:szCs w:val="22"/>
        </w:rPr>
        <w:t xml:space="preserve">Elaborar el informe de auditoría con hallazgos, evidencias y recomendaciones.</w:t>
      </w:r>
    </w:p>
    <w:p>
      <w:pPr>
        <w:pStyle w:val="ListParagraph"/>
        <w:numPr>
          <w:ilvl w:val="0"/>
          <w:numId w:val="2"/>
        </w:numPr>
        <w:spacing w:after="60" w:before="60"/>
      </w:pPr>
      <w:r>
        <w:rPr>
          <w:rFonts w:ascii="Arial" w:cs="Arial" w:eastAsia="Arial" w:hAnsi="Arial"/>
          <w:color w:val="404040"/>
          <w:sz w:val="22"/>
          <w:szCs w:val="22"/>
        </w:rPr>
        <w:t xml:space="preserve">Presentar resultados a la dirección y al responsable de TI.</w:t>
      </w:r>
    </w:p>
    <w:p>
      <w:pPr>
        <w:pStyle w:val="ListParagraph"/>
        <w:numPr>
          <w:ilvl w:val="0"/>
          <w:numId w:val="2"/>
        </w:numPr>
        <w:spacing w:after="60" w:before="60"/>
      </w:pPr>
      <w:r>
        <w:rPr>
          <w:rFonts w:ascii="Arial" w:cs="Arial" w:eastAsia="Arial" w:hAnsi="Arial"/>
          <w:color w:val="404040"/>
          <w:sz w:val="22"/>
          <w:szCs w:val="22"/>
        </w:rPr>
        <w:t xml:space="preserve">Establecer un plan de acción correctivo con fechas y responsables.</w:t>
      </w:r>
    </w:p>
    <w:p>
      <w:pPr>
        <w:pStyle w:val="ListParagraph"/>
        <w:numPr>
          <w:ilvl w:val="0"/>
          <w:numId w:val="2"/>
        </w:numPr>
        <w:spacing w:after="60" w:before="60"/>
      </w:pPr>
      <w:r>
        <w:rPr>
          <w:rFonts w:ascii="Arial" w:cs="Arial" w:eastAsia="Arial" w:hAnsi="Arial"/>
          <w:color w:val="404040"/>
          <w:sz w:val="22"/>
          <w:szCs w:val="22"/>
        </w:rPr>
        <w:t xml:space="preserve">Programar auditoría de seguimiento a los 3 y 6 meses.</w:t>
      </w:r>
    </w:p>
    <w:p>
      <w:pPr>
        <w:spacing w:after="0" w:before="0"/>
      </w:pPr>
      <w:r>
        <w:rPr>
          <w:sz w:val="10"/>
          <w:szCs w:val="10"/>
        </w:rPr>
        <w:t xml:space="preserve"/>
      </w:r>
    </w:p>
    <w:p>
      <w:pPr>
        <w:pStyle w:val="Heading2"/>
        <w:spacing w:after="140" w:before="280"/>
      </w:pPr>
      <w:r>
        <w:rPr>
          <w:rFonts w:ascii="Arial" w:cs="Arial" w:eastAsia="Arial" w:hAnsi="Arial"/>
          <w:b/>
          <w:bCs/>
          <w:color w:val="2E75B6"/>
          <w:sz w:val="26"/>
          <w:szCs w:val="26"/>
        </w:rPr>
        <w:t xml:space="preserve">2.4 Riesgos Identificados en el Área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2E75B6" w:sz="4"/>
              <w:left w:val="single" w:color="2E75B6" w:sz="4"/>
              <w:bottom w:val="single" w:color="2E75B6" w:sz="4"/>
              <w:right w:val="single" w:color="2E75B6" w:sz="4"/>
            </w:tcBorders>
            <w:shd w:fill="1F4E79" w:val="clear"/>
            <w:tcMar>
              <w:top w:type="dxa" w:w="100"/>
              <w:left w:type="dxa" w:w="120"/>
              <w:bottom w:type="dxa" w:w="100"/>
              <w:right w:type="dxa" w:w="120"/>
            </w:tcMar>
          </w:tcPr>
          <w:p>
            <w:r>
              <w:rPr>
                <w:rFonts w:ascii="Arial" w:cs="Arial" w:eastAsia="Arial" w:hAnsi="Arial"/>
                <w:b/>
                <w:bCs/>
                <w:color w:val="FFFFFF"/>
                <w:sz w:val="22"/>
                <w:szCs w:val="22"/>
              </w:rPr>
              <w:t xml:space="preserve">Riesgo</w:t>
            </w:r>
          </w:p>
        </w:tc>
        <w:tc>
          <w:tcPr>
            <w:tcW w:type="dxa" w:w="3120"/>
            <w:tcBorders>
              <w:top w:val="single" w:color="2E75B6" w:sz="4"/>
              <w:left w:val="single" w:color="2E75B6" w:sz="4"/>
              <w:bottom w:val="single" w:color="2E75B6" w:sz="4"/>
              <w:right w:val="single" w:color="2E75B6" w:sz="4"/>
            </w:tcBorders>
            <w:shd w:fill="1F4E79" w:val="clear"/>
            <w:tcMar>
              <w:top w:type="dxa" w:w="100"/>
              <w:left w:type="dxa" w:w="120"/>
              <w:bottom w:type="dxa" w:w="100"/>
              <w:right w:type="dxa" w:w="120"/>
            </w:tcMar>
          </w:tcPr>
          <w:p>
            <w:r>
              <w:rPr>
                <w:rFonts w:ascii="Arial" w:cs="Arial" w:eastAsia="Arial" w:hAnsi="Arial"/>
                <w:b/>
                <w:bCs/>
                <w:color w:val="FFFFFF"/>
                <w:sz w:val="22"/>
                <w:szCs w:val="22"/>
              </w:rPr>
              <w:t xml:space="preserve">Impacto</w:t>
            </w:r>
          </w:p>
        </w:tc>
        <w:tc>
          <w:tcPr>
            <w:tcW w:type="dxa" w:w="3120"/>
            <w:tcBorders>
              <w:top w:val="single" w:color="2E75B6" w:sz="4"/>
              <w:left w:val="single" w:color="2E75B6" w:sz="4"/>
              <w:bottom w:val="single" w:color="2E75B6" w:sz="4"/>
              <w:right w:val="single" w:color="2E75B6" w:sz="4"/>
            </w:tcBorders>
            <w:shd w:fill="1F4E79" w:val="clear"/>
            <w:tcMar>
              <w:top w:type="dxa" w:w="100"/>
              <w:left w:type="dxa" w:w="120"/>
              <w:bottom w:type="dxa" w:w="100"/>
              <w:right w:type="dxa" w:w="120"/>
            </w:tcMar>
          </w:tcPr>
          <w:p>
            <w:r>
              <w:rPr>
                <w:rFonts w:ascii="Arial" w:cs="Arial" w:eastAsia="Arial" w:hAnsi="Arial"/>
                <w:b/>
                <w:bCs/>
                <w:color w:val="FFFFFF"/>
                <w:sz w:val="22"/>
                <w:szCs w:val="22"/>
              </w:rPr>
              <w:t xml:space="preserve">Nivel</w:t>
            </w:r>
          </w:p>
        </w:tc>
      </w:tr>
      <w:tr>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Acceso no autorizado al ECE</w:t>
            </w:r>
          </w:p>
        </w:tc>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Violación de confidencialidad del paciente</w:t>
            </w:r>
          </w:p>
        </w:tc>
        <w:tc>
          <w:tcPr>
            <w:tcW w:type="dxa" w:w="3120"/>
            <w:tcBorders>
              <w:top w:val="single" w:color="AAAAAA" w:sz="2"/>
              <w:left w:val="single" w:color="AAAAAA" w:sz="2"/>
              <w:bottom w:val="single" w:color="AAAAAA" w:sz="2"/>
              <w:right w:val="single" w:color="AAAAAA" w:sz="2"/>
            </w:tcBorders>
            <w:shd w:fill="FFCCCC" w:val="clear"/>
            <w:tcMar>
              <w:top w:type="dxa" w:w="80"/>
              <w:left w:type="dxa" w:w="120"/>
              <w:bottom w:type="dxa" w:w="80"/>
              <w:right w:type="dxa" w:w="120"/>
            </w:tcMar>
          </w:tcPr>
          <w:p>
            <w:pPr>
              <w:jc w:val="center"/>
            </w:pPr>
            <w:r>
              <w:rPr>
                <w:rFonts w:ascii="Arial" w:cs="Arial" w:eastAsia="Arial" w:hAnsi="Arial"/>
                <w:b/>
                <w:bCs/>
                <w:color w:val="C00000"/>
                <w:sz w:val="20"/>
                <w:szCs w:val="20"/>
              </w:rPr>
              <w:t xml:space="preserve">ALTO</w:t>
            </w:r>
          </w:p>
        </w:tc>
      </w:tr>
      <w:tr>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Falta de cifrado en datos de salud</w:t>
            </w:r>
          </w:p>
        </w:tc>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Robo o exposición de datos sensibles</w:t>
            </w:r>
          </w:p>
        </w:tc>
        <w:tc>
          <w:tcPr>
            <w:tcW w:type="dxa" w:w="3120"/>
            <w:tcBorders>
              <w:top w:val="single" w:color="AAAAAA" w:sz="2"/>
              <w:left w:val="single" w:color="AAAAAA" w:sz="2"/>
              <w:bottom w:val="single" w:color="AAAAAA" w:sz="2"/>
              <w:right w:val="single" w:color="AAAAAA" w:sz="2"/>
            </w:tcBorders>
            <w:shd w:fill="FFCCCC" w:val="clear"/>
            <w:tcMar>
              <w:top w:type="dxa" w:w="80"/>
              <w:left w:type="dxa" w:w="120"/>
              <w:bottom w:type="dxa" w:w="80"/>
              <w:right w:type="dxa" w:w="120"/>
            </w:tcMar>
          </w:tcPr>
          <w:p>
            <w:pPr>
              <w:jc w:val="center"/>
            </w:pPr>
            <w:r>
              <w:rPr>
                <w:rFonts w:ascii="Arial" w:cs="Arial" w:eastAsia="Arial" w:hAnsi="Arial"/>
                <w:b/>
                <w:bCs/>
                <w:color w:val="C00000"/>
                <w:sz w:val="20"/>
                <w:szCs w:val="20"/>
              </w:rPr>
              <w:t xml:space="preserve">ALTO</w:t>
            </w:r>
          </w:p>
        </w:tc>
      </w:tr>
      <w:tr>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Backups insuficientes o sin prueba de restauración</w:t>
            </w:r>
          </w:p>
        </w:tc>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Pérdida permanente de registros clínicos</w:t>
            </w:r>
          </w:p>
        </w:tc>
        <w:tc>
          <w:tcPr>
            <w:tcW w:type="dxa" w:w="3120"/>
            <w:tcBorders>
              <w:top w:val="single" w:color="AAAAAA" w:sz="2"/>
              <w:left w:val="single" w:color="AAAAAA" w:sz="2"/>
              <w:bottom w:val="single" w:color="AAAAAA" w:sz="2"/>
              <w:right w:val="single" w:color="AAAAAA" w:sz="2"/>
            </w:tcBorders>
            <w:shd w:fill="FFCCCC" w:val="clear"/>
            <w:tcMar>
              <w:top w:type="dxa" w:w="80"/>
              <w:left w:type="dxa" w:w="120"/>
              <w:bottom w:type="dxa" w:w="80"/>
              <w:right w:type="dxa" w:w="120"/>
            </w:tcMar>
          </w:tcPr>
          <w:p>
            <w:pPr>
              <w:jc w:val="center"/>
            </w:pPr>
            <w:r>
              <w:rPr>
                <w:rFonts w:ascii="Arial" w:cs="Arial" w:eastAsia="Arial" w:hAnsi="Arial"/>
                <w:b/>
                <w:bCs/>
                <w:color w:val="C00000"/>
                <w:sz w:val="20"/>
                <w:szCs w:val="20"/>
              </w:rPr>
              <w:t xml:space="preserve">ALTO</w:t>
            </w:r>
          </w:p>
        </w:tc>
      </w:tr>
      <w:tr>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Contraseñas débiles o compartidas</w:t>
            </w:r>
          </w:p>
        </w:tc>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Acceso indebido y suplantación de identidad</w:t>
            </w:r>
          </w:p>
        </w:tc>
        <w:tc>
          <w:tcPr>
            <w:tcW w:type="dxa" w:w="3120"/>
            <w:tcBorders>
              <w:top w:val="single" w:color="AAAAAA" w:sz="2"/>
              <w:left w:val="single" w:color="AAAAAA" w:sz="2"/>
              <w:bottom w:val="single" w:color="AAAAAA" w:sz="2"/>
              <w:right w:val="single" w:color="AAAAAA" w:sz="2"/>
            </w:tcBorders>
            <w:shd w:fill="FFF2CC" w:val="clear"/>
            <w:tcMar>
              <w:top w:type="dxa" w:w="80"/>
              <w:left w:type="dxa" w:w="120"/>
              <w:bottom w:type="dxa" w:w="80"/>
              <w:right w:type="dxa" w:w="120"/>
            </w:tcMar>
          </w:tcPr>
          <w:p>
            <w:pPr>
              <w:jc w:val="center"/>
            </w:pPr>
            <w:r>
              <w:rPr>
                <w:rFonts w:ascii="Arial" w:cs="Arial" w:eastAsia="Arial" w:hAnsi="Arial"/>
                <w:b/>
                <w:bCs/>
                <w:color w:val="7F6000"/>
                <w:sz w:val="20"/>
                <w:szCs w:val="20"/>
              </w:rPr>
              <w:t xml:space="preserve">MEDIO</w:t>
            </w:r>
          </w:p>
        </w:tc>
      </w:tr>
      <w:tr>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Falta de auditoría de accesos (logs)</w:t>
            </w:r>
          </w:p>
        </w:tc>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Imposibilidad de detectar y rastrear incidentes</w:t>
            </w:r>
          </w:p>
        </w:tc>
        <w:tc>
          <w:tcPr>
            <w:tcW w:type="dxa" w:w="3120"/>
            <w:tcBorders>
              <w:top w:val="single" w:color="AAAAAA" w:sz="2"/>
              <w:left w:val="single" w:color="AAAAAA" w:sz="2"/>
              <w:bottom w:val="single" w:color="AAAAAA" w:sz="2"/>
              <w:right w:val="single" w:color="AAAAAA" w:sz="2"/>
            </w:tcBorders>
            <w:shd w:fill="FFF2CC" w:val="clear"/>
            <w:tcMar>
              <w:top w:type="dxa" w:w="80"/>
              <w:left w:type="dxa" w:w="120"/>
              <w:bottom w:type="dxa" w:w="80"/>
              <w:right w:type="dxa" w:w="120"/>
            </w:tcMar>
          </w:tcPr>
          <w:p>
            <w:pPr>
              <w:jc w:val="center"/>
            </w:pPr>
            <w:r>
              <w:rPr>
                <w:rFonts w:ascii="Arial" w:cs="Arial" w:eastAsia="Arial" w:hAnsi="Arial"/>
                <w:b/>
                <w:bCs/>
                <w:color w:val="7F6000"/>
                <w:sz w:val="20"/>
                <w:szCs w:val="20"/>
              </w:rPr>
              <w:t xml:space="preserve">MEDIO</w:t>
            </w:r>
          </w:p>
        </w:tc>
      </w:tr>
      <w:tr>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Software médico desactualizado</w:t>
            </w:r>
          </w:p>
        </w:tc>
        <w:tc>
          <w:tcPr>
            <w:tcW w:type="dxa" w:w="3120"/>
            <w:tcBorders>
              <w:top w:val="single" w:color="AAAAAA" w:sz="2"/>
              <w:left w:val="single" w:color="AAAAAA" w:sz="2"/>
              <w:bottom w:val="single" w:color="AAAAAA" w:sz="2"/>
              <w:right w:val="single" w:color="AAAAAA" w:sz="2"/>
            </w:tcBorders>
            <w:shd w:fill="FFFFFF" w:val="clear"/>
            <w:tcMar>
              <w:top w:type="dxa" w:w="80"/>
              <w:left w:type="dxa" w:w="120"/>
              <w:bottom w:type="dxa" w:w="80"/>
              <w:right w:type="dxa" w:w="120"/>
            </w:tcMar>
          </w:tcPr>
          <w:p>
            <w:r>
              <w:rPr>
                <w:rFonts w:ascii="Arial" w:cs="Arial" w:eastAsia="Arial" w:hAnsi="Arial"/>
                <w:color w:val="404040"/>
                <w:sz w:val="20"/>
                <w:szCs w:val="20"/>
              </w:rPr>
              <w:t xml:space="preserve">Vulnerabilidades explotables por atacantes</w:t>
            </w:r>
          </w:p>
        </w:tc>
        <w:tc>
          <w:tcPr>
            <w:tcW w:type="dxa" w:w="3120"/>
            <w:tcBorders>
              <w:top w:val="single" w:color="AAAAAA" w:sz="2"/>
              <w:left w:val="single" w:color="AAAAAA" w:sz="2"/>
              <w:bottom w:val="single" w:color="AAAAAA" w:sz="2"/>
              <w:right w:val="single" w:color="AAAAAA" w:sz="2"/>
            </w:tcBorders>
            <w:shd w:fill="FFF2CC" w:val="clear"/>
            <w:tcMar>
              <w:top w:type="dxa" w:w="80"/>
              <w:left w:type="dxa" w:w="120"/>
              <w:bottom w:type="dxa" w:w="80"/>
              <w:right w:type="dxa" w:w="120"/>
            </w:tcMar>
          </w:tcPr>
          <w:p>
            <w:pPr>
              <w:jc w:val="center"/>
            </w:pPr>
            <w:r>
              <w:rPr>
                <w:rFonts w:ascii="Arial" w:cs="Arial" w:eastAsia="Arial" w:hAnsi="Arial"/>
                <w:b/>
                <w:bCs/>
                <w:color w:val="7F6000"/>
                <w:sz w:val="20"/>
                <w:szCs w:val="20"/>
              </w:rPr>
              <w:t xml:space="preserve">MEDIO</w:t>
            </w:r>
          </w:p>
        </w:tc>
      </w:tr>
      <w:tr>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Sin plan de continuidad operativa</w:t>
            </w:r>
          </w:p>
        </w:tc>
        <w:tc>
          <w:tcPr>
            <w:tcW w:type="dxa" w:w="3120"/>
            <w:tcBorders>
              <w:top w:val="single" w:color="AAAAAA" w:sz="2"/>
              <w:left w:val="single" w:color="AAAAAA" w:sz="2"/>
              <w:bottom w:val="single" w:color="AAAAAA" w:sz="2"/>
              <w:right w:val="single" w:color="AAAAAA" w:sz="2"/>
            </w:tcBorders>
            <w:shd w:fill="F2F7FB" w:val="clear"/>
            <w:tcMar>
              <w:top w:type="dxa" w:w="80"/>
              <w:left w:type="dxa" w:w="120"/>
              <w:bottom w:type="dxa" w:w="80"/>
              <w:right w:type="dxa" w:w="120"/>
            </w:tcMar>
          </w:tcPr>
          <w:p>
            <w:r>
              <w:rPr>
                <w:rFonts w:ascii="Arial" w:cs="Arial" w:eastAsia="Arial" w:hAnsi="Arial"/>
                <w:color w:val="404040"/>
                <w:sz w:val="20"/>
                <w:szCs w:val="20"/>
              </w:rPr>
              <w:t xml:space="preserve">Interrupción prolongada del servicio de salud</w:t>
            </w:r>
          </w:p>
        </w:tc>
        <w:tc>
          <w:tcPr>
            <w:tcW w:type="dxa" w:w="3120"/>
            <w:tcBorders>
              <w:top w:val="single" w:color="AAAAAA" w:sz="2"/>
              <w:left w:val="single" w:color="AAAAAA" w:sz="2"/>
              <w:bottom w:val="single" w:color="AAAAAA" w:sz="2"/>
              <w:right w:val="single" w:color="AAAAAA" w:sz="2"/>
            </w:tcBorders>
            <w:shd w:fill="FFCCCC" w:val="clear"/>
            <w:tcMar>
              <w:top w:type="dxa" w:w="80"/>
              <w:left w:type="dxa" w:w="120"/>
              <w:bottom w:type="dxa" w:w="80"/>
              <w:right w:type="dxa" w:w="120"/>
            </w:tcMar>
          </w:tcPr>
          <w:p>
            <w:pPr>
              <w:jc w:val="center"/>
            </w:pPr>
            <w:r>
              <w:rPr>
                <w:rFonts w:ascii="Arial" w:cs="Arial" w:eastAsia="Arial" w:hAnsi="Arial"/>
                <w:b/>
                <w:bCs/>
                <w:color w:val="C00000"/>
                <w:sz w:val="20"/>
                <w:szCs w:val="20"/>
              </w:rPr>
              <w:t xml:space="preserve">ALTO</w:t>
            </w:r>
          </w:p>
        </w:tc>
      </w:tr>
    </w:tbl>
    <w:p>
      <w:r>
        <w:br w:type="page"/>
      </w:r>
    </w:p>
    <w:p>
      <w:pPr>
        <w:pStyle w:val="Heading1"/>
        <w:pBdr>
          <w:bottom w:val="single" w:color="2E75B6" w:sz="8" w:space="6"/>
        </w:pBdr>
        <w:spacing w:after="200" w:before="360"/>
      </w:pPr>
      <w:r>
        <w:rPr>
          <w:rFonts w:ascii="Arial" w:cs="Arial" w:eastAsia="Arial" w:hAnsi="Arial"/>
          <w:b/>
          <w:bCs/>
          <w:color w:val="1F4E79"/>
          <w:sz w:val="32"/>
          <w:szCs w:val="32"/>
        </w:rPr>
        <w:t xml:space="preserve">3. Cuadro Comparativo de Normas ISO y Marcos de Referencia</w:t>
      </w:r>
    </w:p>
    <w:p>
      <w:pPr>
        <w:spacing w:after="100" w:before="80"/>
        <w:jc w:val="both"/>
      </w:pPr>
      <w:r>
        <w:rPr>
          <w:rFonts w:ascii="Arial" w:cs="Arial" w:eastAsia="Arial" w:hAnsi="Arial"/>
          <w:color w:val="404040"/>
          <w:sz w:val="22"/>
          <w:szCs w:val="22"/>
        </w:rPr>
        <w:t xml:space="preserve">El siguiente cuadro presenta una comparación integral de las principales normas ISO y marcos de referencia utilizados en auditoría informática, gobierno de TI y gestión de la seguridad de la información.</w:t>
      </w:r>
    </w:p>
    <w:p>
      <w:pPr>
        <w:spacing w:after="0" w:before="0"/>
      </w:pPr>
      <w:r>
        <w:rPr>
          <w:sz w:val="10"/>
          <w:szCs w:val="10"/>
        </w:rPr>
        <w:t xml:space="preserve"/>
      </w:r>
    </w:p>
    <w:tbl>
      <w:tblPr>
        <w:tblW w:type="dxa" w:w="1404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1800"/>
        <w:gridCol w:w="2200"/>
        <w:gridCol w:w="2200"/>
        <w:gridCol w:w="2200"/>
        <w:gridCol w:w="2240"/>
      </w:tblGrid>
      <w:tr>
        <w:trPr>
          <w:tblHeader/>
        </w:trPr>
        <w:tc>
          <w:tcPr>
            <w:tcW w:type="dxa" w:w="14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Norma / Marco</w:t>
            </w:r>
          </w:p>
        </w:tc>
        <w:tc>
          <w:tcPr>
            <w:tcW w:type="dxa" w:w="20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Definición</w:t>
            </w:r>
          </w:p>
        </w:tc>
        <w:tc>
          <w:tcPr>
            <w:tcW w:type="dxa" w:w="18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Objetivo</w:t>
            </w:r>
          </w:p>
        </w:tc>
        <w:tc>
          <w:tcPr>
            <w:tcW w:type="dxa" w:w="22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Características</w:t>
            </w:r>
          </w:p>
        </w:tc>
        <w:tc>
          <w:tcPr>
            <w:tcW w:type="dxa" w:w="22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Elementos / Estructura</w:t>
            </w:r>
          </w:p>
        </w:tc>
        <w:tc>
          <w:tcPr>
            <w:tcW w:type="dxa" w:w="220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Ventajas</w:t>
            </w:r>
          </w:p>
        </w:tc>
        <w:tc>
          <w:tcPr>
            <w:tcW w:type="dxa" w:w="2240"/>
            <w:tcBorders>
              <w:top w:val="single" w:color="2E75B6" w:sz="4"/>
              <w:left w:val="single" w:color="2E75B6" w:sz="4"/>
              <w:bottom w:val="single" w:color="2E75B6" w:sz="4"/>
              <w:right w:val="single" w:color="2E75B6" w:sz="4"/>
            </w:tcBorders>
            <w:shd w:fill="1F4E79" w:val="clear"/>
            <w:tcMar>
              <w:top w:type="dxa" w:w="100"/>
              <w:left w:type="dxa" w:w="100"/>
              <w:bottom w:type="dxa" w:w="100"/>
              <w:right w:type="dxa" w:w="100"/>
            </w:tcMar>
            <w:vAlign w:val="center"/>
          </w:tcPr>
          <w:p>
            <w:pPr>
              <w:jc w:val="center"/>
            </w:pPr>
            <w:r>
              <w:rPr>
                <w:rFonts w:ascii="Arial" w:cs="Arial" w:eastAsia="Arial" w:hAnsi="Arial"/>
                <w:b/>
                <w:bCs/>
                <w:color w:val="FFFFFF"/>
                <w:sz w:val="18"/>
                <w:szCs w:val="18"/>
              </w:rPr>
              <w:t xml:space="preserve">Desventajas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ISO/IEC 27001:2022</w:t>
            </w:r>
          </w:p>
        </w:tc>
        <w:tc>
          <w:tcPr>
            <w:tcW w:type="dxa" w:w="20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Estándar internacional para la gestión de la seguridad de la información (SGSI). Establece requisitos para proteger la confidencialidad, integridad y disponibilidad de los datos.</w:t>
            </w:r>
          </w:p>
        </w:tc>
        <w:tc>
          <w:tcPr>
            <w:tcW w:type="dxa" w:w="18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Proteger los activos de información mediante la implementación, mantenimiento y mejora continua de un SGSI basado en análisis de riesgos.</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Basada en el ciclo PDCA. Aplica a cualquier tipo y tamaño de organización. Orientada al riesgo. Requiere revisión por la dirección. Certificable por terceros.</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Política de Seguridad. Alcance del SGSI. Evaluación y tratamiento de riesgos. Declaración de Aplicabilidad (SoA). Controles del Anexo A (93 controles). Revisión de dirección.</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Reconocimiento internacional. Mejora la confianza de clientes. Reducción de incidentes de seguridad. Marco completo y adaptable. Soporte para cumplimiento normativo.</w:t>
            </w:r>
          </w:p>
        </w:tc>
        <w:tc>
          <w:tcPr>
            <w:tcW w:type="dxa" w:w="224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Proceso de implementación costoso y largo. Requiere personal especializado. La certificación tiene costo elevado. Mantenimiento continuo exigente.</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ISO/IEC 27002:2022</w:t>
            </w:r>
          </w:p>
        </w:tc>
        <w:tc>
          <w:tcPr>
            <w:tcW w:type="dxa" w:w="20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Guía de buenas prácticas y controles de seguridad de la información. Complemento de ISO 27001; no es certificable por sí sola.</w:t>
            </w:r>
          </w:p>
        </w:tc>
        <w:tc>
          <w:tcPr>
            <w:tcW w:type="dxa" w:w="18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Proporcionar directrices para seleccionar, implementar y gestionar controles de seguridad de la información referenciados en ISO 27001.</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Catálogo de 93 controles agrupados en 4 temas: Organizacional, Personal, Físico y Tecnológico. Sin requisitos obligatorios. Orientada a la implementación práctica.</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Controles organizacionales (37). Controles de personas (8). Controles físicos (14). Controles tecnológicos (34). Atributos por control (tipo, propiedades de seguridad, conceptos de ciberseguridad).</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Guía práctica de implementación. Actualización a nuevas amenazas. Flexibilidad de adopción. Complementa perfectamente ISO 27001.</w:t>
            </w:r>
          </w:p>
        </w:tc>
        <w:tc>
          <w:tcPr>
            <w:tcW w:type="dxa" w:w="224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No certificable de forma independiente. Requiere interpretación para su aplicación. Puede ser genérica para contextos muy específicos.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ISO/IEC 27701:2019</w:t>
            </w:r>
          </w:p>
        </w:tc>
        <w:tc>
          <w:tcPr>
            <w:tcW w:type="dxa" w:w="20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Extensión de ISO 27001/27002 para la gestión de la privacidad de la información (SGPI). Aborda el tratamiento de datos personales.</w:t>
            </w:r>
          </w:p>
        </w:tc>
        <w:tc>
          <w:tcPr>
            <w:tcW w:type="dxa" w:w="18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Establecer, implementar y mejorar un Sistema de Gestión de Información de Privacidad (PIMS) como extensión del SGSI.</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Extiende ISO 27001 con requisitos de privacidad. Aplica a controladores y procesadores de datos. Alinea con GDPR y otras leyes de privacidad.</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Mapeo a GDPR. Controles para controladores de datos. Controles para procesadores de datos. Roles de privacidad. Evaluación de impacto de privacidad (PIA).</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Facilita cumplimiento con regulaciones de privacidad (GDPR, LFPDPPP). Integración natural con ISO 27001. Mejora la gestión de datos personales.</w:t>
            </w:r>
          </w:p>
        </w:tc>
        <w:tc>
          <w:tcPr>
            <w:tcW w:type="dxa" w:w="224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Depende de tener implementada ISO 27001. Costo adicional de certificación. Complejidad en organizaciones que procesan grandes volúmenes de datos personales.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ISO/IEC 20000-1:2018</w:t>
            </w:r>
          </w:p>
        </w:tc>
        <w:tc>
          <w:tcPr>
            <w:tcW w:type="dxa" w:w="20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Estándar para la gestión de servicios de TI (SMS). Define requisitos para planificar, establecer, implementar y mejorar la entrega de servicios de TI.</w:t>
            </w:r>
          </w:p>
        </w:tc>
        <w:tc>
          <w:tcPr>
            <w:tcW w:type="dxa" w:w="18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Garantizar la entrega de servicios de TI gestionados de manera efectiva y eficiente, alineados con las necesidades del negocio.</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Basada en PDCA. Compatible con ITIL. Aplica a proveedores internos y externos. Requiere definir catálogo de servicios. Orientada a la mejora continua.</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Sistema de Gestión de Servicios. Diseño y transición de servicios. Entrega de servicios. Resolución de servicios. Control de servicios. Gobierno de procesos operados por terceros.</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Mejora la calidad del servicio de TI. Reconocimiento internacional. Compatible con ITIL. Reduce costos de soporte. Aumenta satisfacción del usuario.</w:t>
            </w:r>
          </w:p>
        </w:tc>
        <w:tc>
          <w:tcPr>
            <w:tcW w:type="dxa" w:w="224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Complejidad en implementación. Requiere documentación extensa. Puede ser percibida como burocrática. Costo de certificación elevado.</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 22301:2019</w:t>
            </w:r>
          </w:p>
        </w:tc>
        <w:tc>
          <w:tcPr>
            <w:tcW w:type="dxa" w:w="20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Estándar para la Gestión de la Continuidad de Negocio (BCM). Especifica requisitos para planificar, establecer y mejorar la continuidad operativa ante interrupciones.</w:t>
            </w:r>
          </w:p>
        </w:tc>
        <w:tc>
          <w:tcPr>
            <w:tcW w:type="dxa" w:w="18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Proteger a la organización frente a disrupciones, garantizando la continuidad de sus funciones críticas y la recuperación oportuna.</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Ciclo PDCA. Enfoque basado en riesgos. Requiere Análisis de Impacto al Negocio (BIA). Define RTO y RPO. Aplicable a cualquier sector.</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Política de continuidad de negocio. Análisis de Impacto al Negocio (BIA). Estrategias de recuperación. Plan de Continuidad de Negocio (BCP). Ejercicios y pruebas. Revisión y mejora.</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Reduce el tiempo de recuperación ante desastres. Protege la reputación organizacional. Mejora la resiliencia. Cumplimiento regulatorio. Confianza de stakeholders.</w:t>
            </w:r>
          </w:p>
        </w:tc>
        <w:tc>
          <w:tcPr>
            <w:tcW w:type="dxa" w:w="224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Requiere inversión significativa. Mantenimiento y pruebas periódicas costosas. Puede generar falsa sensación de seguridad sin ejercicios reales.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ISO/IEC 38500:2015</w:t>
            </w:r>
          </w:p>
        </w:tc>
        <w:tc>
          <w:tcPr>
            <w:tcW w:type="dxa" w:w="20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de gobierno corporativo de TI. Proporciona principios orientadores para que los órganos directivos de la organización gobiernen el uso de TI.</w:t>
            </w:r>
          </w:p>
        </w:tc>
        <w:tc>
          <w:tcPr>
            <w:tcW w:type="dxa" w:w="18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Asegurar que el uso de TI dentro de la organización sea eficaz, eficiente y aceptable; promoviendo el buen gobierno de TI desde la alta dirección.</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6 principios: Responsabilidad, Estrategia, Adquisición, Desempeño, Conformidad, Comportamiento humano. Orientada a directivos, no técnicos.</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Principios de gobierno. Modelo evaluar-dirigir-monitorear (EDM). Alcance del gobierno de TI. Responsabilidades. Relación con otras normas.</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Orienta a la dirección en el gobierno de TI. De alto nivel y fácil comprensión. Complementa a COBIT. Aplicable a cualquier organización.</w:t>
            </w:r>
          </w:p>
        </w:tc>
        <w:tc>
          <w:tcPr>
            <w:tcW w:type="dxa" w:w="224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No proporciona controles específicos. Muy abstracta para implementación operativa. Requiere complementarse con otros marcos.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COBIT 2019</w:t>
            </w:r>
          </w:p>
        </w:tc>
        <w:tc>
          <w:tcPr>
            <w:tcW w:type="dxa" w:w="20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de referencia de gobierno y gestión de la información y tecnología empresarial desarrollado por ISACA. Proporciona principios, prácticas y herramientas para el gobierno de TI.</w:t>
            </w:r>
          </w:p>
        </w:tc>
        <w:tc>
          <w:tcPr>
            <w:tcW w:type="dxa" w:w="18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Ayudar a las organizaciones a crear valor óptimo a partir de TI, manteniendo equilibrio entre la realización de beneficios, optimización del riesgo y uso de recursos.</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Basado en 6 principios. 40 objetivos de gobierno y gestión agrupados en 5 dominios. Personalizable con factores de diseño. Orientado a gobierno y gestión.</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Dominios: EDM (Evaluar, Dirigir y Monitorear), APO (Alinear, Planear y Organizar), BAI (Construir, Adquirir e Implementar), DSS (Entregar, Dar Servicio y Soporte), MEA (Monitorear, Evaluar y Valorar).</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integral y reconocido mundialmente. Flexible y personalizable. Cubre gobierno y gestión. Compatible con ISO 27001, ITIL, CMMI. Soporta auditorías de TI.</w:t>
            </w:r>
          </w:p>
        </w:tc>
        <w:tc>
          <w:tcPr>
            <w:tcW w:type="dxa" w:w="224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Complejidad de implementación. Curva de aprendizaje pronunciada. Requiere consultores especializados. Puede ser excesivo para organizaciones pequeñas.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ITIL v4 (2019)</w:t>
            </w:r>
          </w:p>
        </w:tc>
        <w:tc>
          <w:tcPr>
            <w:tcW w:type="dxa" w:w="20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Biblioteca de Infraestructura de Tecnologías de Información. Marco de mejores prácticas para la gestión de servicios de TI orientado a la creación de valor.</w:t>
            </w:r>
          </w:p>
        </w:tc>
        <w:tc>
          <w:tcPr>
            <w:tcW w:type="dxa" w:w="18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Proporcionar una guía práctica para diseñar, entregar, gestionar y mejorar servicios de TI alineados con las necesidades del negocio.</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Sistema de Valor del Servicio (SVS). Cadena de Valor del Servicio con 6 actividades. 34 prácticas de gestión. Integra Agile, DevOps y Lean.</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Sistema de Valor del Servicio (SVS). Cadena de Valor del Servicio. Prácticas de gestión (Gestión de incidentes, cambios, problemas, activos, etc.). Principios guía. Mejora continua.</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Ampliamente adoptado. Mejora la entrega de servicios. Compatible con otras metodologías. Versión 4 más moderna y flexible. Gran comunidad de soporte.</w:t>
            </w:r>
          </w:p>
        </w:tc>
        <w:tc>
          <w:tcPr>
            <w:tcW w:type="dxa" w:w="224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No es un estándar certificable de la organización. Puede convertirse en burocrático. Requiere adaptación cultural importante. Implementación costosa.</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NIST CSF v2.0 (2024)</w:t>
            </w:r>
          </w:p>
        </w:tc>
        <w:tc>
          <w:tcPr>
            <w:tcW w:type="dxa" w:w="20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de Ciberseguridad del Instituto Nacional de Estándares y Tecnología de EE.UU. Guía voluntaria para gestionar y reducir el riesgo de ciberseguridad.</w:t>
            </w:r>
          </w:p>
        </w:tc>
        <w:tc>
          <w:tcPr>
            <w:tcW w:type="dxa" w:w="18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Proporcionar un lenguaje común y sistemático para que las organizaciones gestionen y comuniquen el riesgo de ciberseguridad.</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Organizado en 6 funciones nucleares. Basado en estándares, directrices y prácticas existentes. Flexible y aplicable a cualquier sector y tamaño.</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Funciones: Gobernar (GV), Identificar (ID), Proteger (PR), Detectar (DE), Responder (RS), Recuperar (RC). Perfiles de Ciberseguridad. Niveles de implementación (Tiers 1-4).</w:t>
            </w:r>
          </w:p>
        </w:tc>
        <w:tc>
          <w:tcPr>
            <w:tcW w:type="dxa" w:w="220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flexible y voluntario. Ampliamente reconocido. Versión 2.0 incluye función de Gobierno. Compatible con ISO 27001. Gratuito y de acceso libre.</w:t>
            </w:r>
          </w:p>
        </w:tc>
        <w:tc>
          <w:tcPr>
            <w:tcW w:type="dxa" w:w="2240"/>
            <w:tcBorders>
              <w:top w:val="single" w:color="AAAAAA" w:sz="2"/>
              <w:left w:val="single" w:color="AAAAAA" w:sz="2"/>
              <w:bottom w:val="single" w:color="AAAAAA" w:sz="2"/>
              <w:right w:val="single" w:color="AAAAAA" w:sz="2"/>
            </w:tcBorders>
            <w:shd w:fill="F2F7FB"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Originalmente diseñado para infraestructuras críticas de EE.UU. No es certificable. Requiere adaptación para contextos locales y normativos mexicanos.</w:t>
            </w:r>
          </w:p>
        </w:tc>
      </w:tr>
      <w:tr>
        <w:tc>
          <w:tcPr>
            <w:tcW w:type="dxa" w:w="1400"/>
            <w:tcBorders>
              <w:top w:val="single" w:color="AAAAAA" w:sz="2"/>
              <w:left w:val="single" w:color="AAAAAA" w:sz="2"/>
              <w:bottom w:val="single" w:color="AAAAAA" w:sz="2"/>
              <w:right w:val="single" w:color="AAAAAA" w:sz="2"/>
            </w:tcBorders>
            <w:shd w:fill="DEEAF1" w:val="clear"/>
            <w:tcMar>
              <w:top w:type="dxa" w:w="80"/>
              <w:left w:type="dxa" w:w="100"/>
              <w:bottom w:type="dxa" w:w="80"/>
              <w:right w:type="dxa" w:w="100"/>
            </w:tcMar>
            <w:vAlign w:val="top"/>
          </w:tcPr>
          <w:p>
            <w:r>
              <w:rPr>
                <w:rFonts w:ascii="Arial" w:cs="Arial" w:eastAsia="Arial" w:hAnsi="Arial"/>
                <w:b/>
                <w:bCs/>
                <w:color w:val="404040"/>
                <w:sz w:val="18"/>
                <w:szCs w:val="18"/>
              </w:rPr>
              <w:t xml:space="preserve">COSO ERM 2017</w:t>
            </w:r>
          </w:p>
        </w:tc>
        <w:tc>
          <w:tcPr>
            <w:tcW w:type="dxa" w:w="20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Marco del Comité de Organizaciones Patrocinadoras de la Comisión Treadway para la gestión de riesgos empresariales (Enterprise Risk Management).</w:t>
            </w:r>
          </w:p>
        </w:tc>
        <w:tc>
          <w:tcPr>
            <w:tcW w:type="dxa" w:w="18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Integrar la gestión de riesgos con la estrategia y el rendimiento empresarial para mejorar la toma de decisiones y la creación de valor.</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Integra riesgo con estrategia y rendimiento. 5 componentes y 20 principios. Orientado a la alta dirección. Abarca todo el espectro de riesgo empresarial.</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Componentes: Gobierno y Cultura. Estrategia y Definición de Objetivos. Rendimiento (identificación, evaluación y respuesta a riesgos). Revisión y Monitoreo. Información, Comunicación y Reporte.</w:t>
            </w:r>
          </w:p>
        </w:tc>
        <w:tc>
          <w:tcPr>
            <w:tcW w:type="dxa" w:w="220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Vincula riesgo con estrategia. Marco holístico. Reconocimiento internacional en auditoría interna. Compatible con marcos de control interno (COSO I).</w:t>
            </w:r>
          </w:p>
        </w:tc>
        <w:tc>
          <w:tcPr>
            <w:tcW w:type="dxa" w:w="2240"/>
            <w:tcBorders>
              <w:top w:val="single" w:color="AAAAAA" w:sz="2"/>
              <w:left w:val="single" w:color="AAAAAA" w:sz="2"/>
              <w:bottom w:val="single" w:color="AAAAAA" w:sz="2"/>
              <w:right w:val="single" w:color="AAAAAA" w:sz="2"/>
            </w:tcBorders>
            <w:shd w:fill="FFFFFF" w:val="clear"/>
            <w:tcMar>
              <w:top w:type="dxa" w:w="80"/>
              <w:left w:type="dxa" w:w="100"/>
              <w:bottom w:type="dxa" w:w="80"/>
              <w:right w:type="dxa" w:w="100"/>
            </w:tcMar>
            <w:vAlign w:val="top"/>
          </w:tcPr>
          <w:p>
            <w:r>
              <w:rPr>
                <w:rFonts w:ascii="Arial" w:cs="Arial" w:eastAsia="Arial" w:hAnsi="Arial"/>
                <w:b w:val="false"/>
                <w:bCs w:val="false"/>
                <w:color w:val="404040"/>
                <w:sz w:val="18"/>
                <w:szCs w:val="18"/>
              </w:rPr>
              <w:t xml:space="preserve">No específico de TI. Muy orientado a grandes corporaciones. Puede ser difícil de implementar en el sector público. Requiere madurez organizacional alta.</w:t>
            </w:r>
          </w:p>
        </w:tc>
      </w:tr>
    </w:tbl>
    <w:p>
      <w:pPr>
        <w:spacing w:after="0" w:before="0"/>
      </w:pPr>
      <w:r>
        <w:rPr>
          <w:sz w:val="20"/>
          <w:szCs w:val="20"/>
        </w:rPr>
        <w:t xml:space="preserve"/>
      </w:r>
    </w:p>
    <w:p>
      <w:pPr>
        <w:pStyle w:val="Heading2"/>
        <w:spacing w:after="140" w:before="280"/>
      </w:pPr>
      <w:r>
        <w:rPr>
          <w:rFonts w:ascii="Arial" w:cs="Arial" w:eastAsia="Arial" w:hAnsi="Arial"/>
          <w:b/>
          <w:bCs/>
          <w:color w:val="2E75B6"/>
          <w:sz w:val="26"/>
          <w:szCs w:val="26"/>
        </w:rPr>
        <w:t xml:space="preserve">3.1 Análisis de Relaciones entre Marcos</w:t>
      </w:r>
    </w:p>
    <w:p>
      <w:pPr>
        <w:spacing w:after="100" w:before="80"/>
        <w:jc w:val="both"/>
      </w:pPr>
      <w:r>
        <w:rPr>
          <w:rFonts w:ascii="Arial" w:cs="Arial" w:eastAsia="Arial" w:hAnsi="Arial"/>
          <w:color w:val="404040"/>
          <w:sz w:val="22"/>
          <w:szCs w:val="22"/>
        </w:rPr>
        <w:t xml:space="preserve">Los marcos y normas descritos no son excluyentes entre sí; al contrario, se complementan y potencian mutuamente. En el contexto de una jurisdicción sanitaria, una arquitectura de gobierno de TI robusta podría integrar: ISO/IEC 27001 + ISO 27701 para la seguridad y privacidad de los datos clínicos, COBIT 2019 para el gobierno general de TI, ITIL v4 para la gestión operativa de servicios tecnológicos, NIST CSF para la gestión específica de riesgos de ciberseguridad, e ISO 22301 para la continuidad de operaciones ante desastres o emergencias sanitarias.</w:t>
      </w:r>
    </w:p>
    <w:p>
      <w:pPr>
        <w:spacing w:after="0" w:before="0"/>
      </w:pPr>
      <w:r>
        <w:rPr>
          <w:sz w:val="10"/>
          <w:szCs w:val="10"/>
        </w:rPr>
        <w:t xml:space="preserve"/>
      </w:r>
    </w:p>
    <w:p>
      <w:pPr>
        <w:spacing w:after="100" w:before="80"/>
        <w:jc w:val="both"/>
      </w:pPr>
      <w:r>
        <w:rPr>
          <w:rFonts w:ascii="Arial" w:cs="Arial" w:eastAsia="Arial" w:hAnsi="Arial"/>
          <w:color w:val="404040"/>
          <w:sz w:val="22"/>
          <w:szCs w:val="22"/>
        </w:rPr>
        <w:t xml:space="preserve">Esta integración permite a la organización contar con un marco de referencia holístico que cubre desde la estrategia hasta la operación, pasando por la seguridad, la privacidad y la continuidad del negocio.</w:t>
      </w:r>
    </w:p>
    <w:p>
      <w:r>
        <w:br w:type="page"/>
      </w:r>
    </w:p>
    <w:p>
      <w:pPr>
        <w:pStyle w:val="Heading1"/>
        <w:pBdr>
          <w:bottom w:val="single" w:color="2E75B6" w:sz="8" w:space="6"/>
        </w:pBdr>
        <w:spacing w:after="200" w:before="360"/>
      </w:pPr>
      <w:r>
        <w:rPr>
          <w:rFonts w:ascii="Arial" w:cs="Arial" w:eastAsia="Arial" w:hAnsi="Arial"/>
          <w:b/>
          <w:bCs/>
          <w:color w:val="1F4E79"/>
          <w:sz w:val="32"/>
          <w:szCs w:val="32"/>
        </w:rPr>
        <w:t xml:space="preserve">Referencias Bibliográficas</w:t>
      </w:r>
    </w:p>
    <w:p>
      <w:pPr>
        <w:pStyle w:val="ListParagraph"/>
        <w:numPr>
          <w:ilvl w:val="0"/>
          <w:numId w:val="2"/>
        </w:numPr>
        <w:spacing w:after="60" w:before="60"/>
      </w:pPr>
      <w:r>
        <w:rPr>
          <w:rFonts w:ascii="Arial" w:cs="Arial" w:eastAsia="Arial" w:hAnsi="Arial"/>
          <w:color w:val="404040"/>
          <w:sz w:val="22"/>
          <w:szCs w:val="22"/>
        </w:rPr>
        <w:t xml:space="preserve">ISO/IEC 27001:2022 – Information security, cybersecurity and privacy protection. International Organization for Standardization.</w:t>
      </w:r>
    </w:p>
    <w:p>
      <w:pPr>
        <w:pStyle w:val="ListParagraph"/>
        <w:numPr>
          <w:ilvl w:val="0"/>
          <w:numId w:val="2"/>
        </w:numPr>
        <w:spacing w:after="60" w:before="60"/>
      </w:pPr>
      <w:r>
        <w:rPr>
          <w:rFonts w:ascii="Arial" w:cs="Arial" w:eastAsia="Arial" w:hAnsi="Arial"/>
          <w:color w:val="404040"/>
          <w:sz w:val="22"/>
          <w:szCs w:val="22"/>
        </w:rPr>
        <w:t xml:space="preserve">ISO/IEC 27002:2022 – Information security controls. International Organization for Standardization.</w:t>
      </w:r>
    </w:p>
    <w:p>
      <w:pPr>
        <w:pStyle w:val="ListParagraph"/>
        <w:numPr>
          <w:ilvl w:val="0"/>
          <w:numId w:val="2"/>
        </w:numPr>
        <w:spacing w:after="60" w:before="60"/>
      </w:pPr>
      <w:r>
        <w:rPr>
          <w:rFonts w:ascii="Arial" w:cs="Arial" w:eastAsia="Arial" w:hAnsi="Arial"/>
          <w:color w:val="404040"/>
          <w:sz w:val="22"/>
          <w:szCs w:val="22"/>
        </w:rPr>
        <w:t xml:space="preserve">ISO/IEC 27701:2019 – Privacy information management. International Organization for Standardization.</w:t>
      </w:r>
    </w:p>
    <w:p>
      <w:pPr>
        <w:pStyle w:val="ListParagraph"/>
        <w:numPr>
          <w:ilvl w:val="0"/>
          <w:numId w:val="2"/>
        </w:numPr>
        <w:spacing w:after="60" w:before="60"/>
      </w:pPr>
      <w:r>
        <w:rPr>
          <w:rFonts w:ascii="Arial" w:cs="Arial" w:eastAsia="Arial" w:hAnsi="Arial"/>
          <w:color w:val="404040"/>
          <w:sz w:val="22"/>
          <w:szCs w:val="22"/>
        </w:rPr>
        <w:t xml:space="preserve">ISO/IEC 20000-1:2018 – Service management system requirements. International Organization for Standardization.</w:t>
      </w:r>
    </w:p>
    <w:p>
      <w:pPr>
        <w:pStyle w:val="ListParagraph"/>
        <w:numPr>
          <w:ilvl w:val="0"/>
          <w:numId w:val="2"/>
        </w:numPr>
        <w:spacing w:after="60" w:before="60"/>
      </w:pPr>
      <w:r>
        <w:rPr>
          <w:rFonts w:ascii="Arial" w:cs="Arial" w:eastAsia="Arial" w:hAnsi="Arial"/>
          <w:color w:val="404040"/>
          <w:sz w:val="22"/>
          <w:szCs w:val="22"/>
        </w:rPr>
        <w:t xml:space="preserve">ISO 22301:2019 – Business continuity management systems. International Organization for Standardization.</w:t>
      </w:r>
    </w:p>
    <w:p>
      <w:pPr>
        <w:pStyle w:val="ListParagraph"/>
        <w:numPr>
          <w:ilvl w:val="0"/>
          <w:numId w:val="2"/>
        </w:numPr>
        <w:spacing w:after="60" w:before="60"/>
      </w:pPr>
      <w:r>
        <w:rPr>
          <w:rFonts w:ascii="Arial" w:cs="Arial" w:eastAsia="Arial" w:hAnsi="Arial"/>
          <w:color w:val="404040"/>
          <w:sz w:val="22"/>
          <w:szCs w:val="22"/>
        </w:rPr>
        <w:t xml:space="preserve">ISACA. (2019). COBIT 2019 Framework: Introduction and Methodology. Rolling Meadows, IL: ISACA.</w:t>
      </w:r>
    </w:p>
    <w:p>
      <w:pPr>
        <w:pStyle w:val="ListParagraph"/>
        <w:numPr>
          <w:ilvl w:val="0"/>
          <w:numId w:val="2"/>
        </w:numPr>
        <w:spacing w:after="60" w:before="60"/>
      </w:pPr>
      <w:r>
        <w:rPr>
          <w:rFonts w:ascii="Arial" w:cs="Arial" w:eastAsia="Arial" w:hAnsi="Arial"/>
          <w:color w:val="404040"/>
          <w:sz w:val="22"/>
          <w:szCs w:val="22"/>
        </w:rPr>
        <w:t xml:space="preserve">AXELOS. (2019). ITIL Foundation: ITIL 4 Edition. TSO (The Stationery Office).</w:t>
      </w:r>
    </w:p>
    <w:p>
      <w:pPr>
        <w:pStyle w:val="ListParagraph"/>
        <w:numPr>
          <w:ilvl w:val="0"/>
          <w:numId w:val="2"/>
        </w:numPr>
        <w:spacing w:after="60" w:before="60"/>
      </w:pPr>
      <w:r>
        <w:rPr>
          <w:rFonts w:ascii="Arial" w:cs="Arial" w:eastAsia="Arial" w:hAnsi="Arial"/>
          <w:color w:val="404040"/>
          <w:sz w:val="22"/>
          <w:szCs w:val="22"/>
        </w:rPr>
        <w:t xml:space="preserve">NIST. (2024). Cybersecurity Framework 2.0. National Institute of Standards and Technology.</w:t>
      </w:r>
    </w:p>
    <w:p>
      <w:pPr>
        <w:pStyle w:val="ListParagraph"/>
        <w:numPr>
          <w:ilvl w:val="0"/>
          <w:numId w:val="2"/>
        </w:numPr>
        <w:spacing w:after="60" w:before="60"/>
      </w:pPr>
      <w:r>
        <w:rPr>
          <w:rFonts w:ascii="Arial" w:cs="Arial" w:eastAsia="Arial" w:hAnsi="Arial"/>
          <w:color w:val="404040"/>
          <w:sz w:val="22"/>
          <w:szCs w:val="22"/>
        </w:rPr>
        <w:t xml:space="preserve">COSO. (2017). Enterprise Risk Management – Integrating with Strategy and Performance. COSO.</w:t>
      </w:r>
    </w:p>
    <w:p>
      <w:pPr>
        <w:pStyle w:val="ListParagraph"/>
        <w:numPr>
          <w:ilvl w:val="0"/>
          <w:numId w:val="2"/>
        </w:numPr>
        <w:spacing w:after="60" w:before="60"/>
      </w:pPr>
      <w:r>
        <w:rPr>
          <w:rFonts w:ascii="Arial" w:cs="Arial" w:eastAsia="Arial" w:hAnsi="Arial"/>
          <w:color w:val="404040"/>
          <w:sz w:val="22"/>
          <w:szCs w:val="22"/>
        </w:rPr>
        <w:t xml:space="preserve">NOM-004-SSA3-2012. Del expediente clínico. Secretaría de Salud, México.</w:t>
      </w:r>
    </w:p>
    <w:p>
      <w:pPr>
        <w:pStyle w:val="ListParagraph"/>
        <w:numPr>
          <w:ilvl w:val="0"/>
          <w:numId w:val="2"/>
        </w:numPr>
        <w:spacing w:after="60" w:before="60"/>
      </w:pPr>
      <w:r>
        <w:rPr>
          <w:rFonts w:ascii="Arial" w:cs="Arial" w:eastAsia="Arial" w:hAnsi="Arial"/>
          <w:color w:val="404040"/>
          <w:sz w:val="22"/>
          <w:szCs w:val="22"/>
        </w:rPr>
        <w:t xml:space="preserve">NOM-024-SSA3-2012. Sistemas de información de registro electrónico para la salud. Secretaría de Salud, México.</w:t>
      </w:r>
    </w:p>
    <w:p>
      <w:pPr>
        <w:pStyle w:val="ListParagraph"/>
        <w:numPr>
          <w:ilvl w:val="0"/>
          <w:numId w:val="2"/>
        </w:numPr>
        <w:spacing w:after="60" w:before="60"/>
      </w:pPr>
      <w:r>
        <w:rPr>
          <w:rFonts w:ascii="Arial" w:cs="Arial" w:eastAsia="Arial" w:hAnsi="Arial"/>
          <w:color w:val="404040"/>
          <w:sz w:val="22"/>
          <w:szCs w:val="22"/>
        </w:rPr>
        <w:t xml:space="preserve">Ley Federal de Protección de Datos Personales en Posesión de los Particulares (LFPDPPP). DOF, México.</w:t>
      </w:r>
    </w:p>
    <w:p>
      <w:pPr>
        <w:pStyle w:val="ListParagraph"/>
        <w:numPr>
          <w:ilvl w:val="0"/>
          <w:numId w:val="2"/>
        </w:numPr>
        <w:spacing w:after="60" w:before="60"/>
      </w:pPr>
      <w:r>
        <w:rPr>
          <w:rFonts w:ascii="Arial" w:cs="Arial" w:eastAsia="Arial" w:hAnsi="Arial"/>
          <w:color w:val="404040"/>
          <w:sz w:val="22"/>
          <w:szCs w:val="22"/>
        </w:rPr>
        <w:t xml:space="preserve">Echenique García, J. A. (2016). Auditoría en Informática (3a ed.). McGraw-Hill.</w:t>
      </w:r>
    </w:p>
    <w:p>
      <w:pPr>
        <w:pStyle w:val="ListParagraph"/>
        <w:numPr>
          <w:ilvl w:val="0"/>
          <w:numId w:val="2"/>
        </w:numPr>
        <w:spacing w:after="60" w:before="60"/>
      </w:pPr>
      <w:r>
        <w:rPr>
          <w:rFonts w:ascii="Arial" w:cs="Arial" w:eastAsia="Arial" w:hAnsi="Arial"/>
          <w:color w:val="404040"/>
          <w:sz w:val="22"/>
          <w:szCs w:val="22"/>
        </w:rPr>
        <w:t xml:space="preserve">Piattini, M. &amp; Del Peso, E. (2018). Auditoría Informática: Un enfoque práctico. RA-MA Editorial.</w:t>
      </w:r>
    </w:p>
    <w:sectPr>
      <w:headerReference w:type="default" r:id="rId7"/>
      <w:footerReference w:type="default" r:id="rId8"/>
      <w:pgSz w:w="12240" w:h="15840" w:orient="portrait"/>
      <w:pgMar w:top="1200" w:right="1080" w:bottom="12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after="0" w:before="80"/>
      <w:jc w:val="center"/>
    </w:pPr>
    <w:r>
      <w:rPr>
        <w:rFonts w:ascii="Arial" w:cs="Arial" w:eastAsia="Arial" w:hAnsi="Arial"/>
        <w:color w:val="404040"/>
        <w:sz w:val="18"/>
        <w:szCs w:val="18"/>
      </w:rPr>
      <w:t xml:space="preserve">Página </w:t>
    </w:r>
    <w:r>
      <w:rPr>
        <w:rFonts w:ascii="Arial" w:cs="Arial" w:eastAsia="Arial" w:hAnsi="Arial"/>
        <w:color w:val="404040"/>
        <w:sz w:val="18"/>
        <w:szCs w:val="18"/>
      </w:rPr>
      <w:fldChar w:fldCharType="begin"/>
      <w:instrText xml:space="preserve">PAGE</w:instrText>
      <w:fldChar w:fldCharType="separate"/>
      <w:fldChar w:fldCharType="end"/>
    </w:r>
    <w:r>
      <w:rPr>
        <w:rFonts w:ascii="Arial" w:cs="Arial" w:eastAsia="Arial" w:hAnsi="Arial"/>
        <w:color w:val="404040"/>
        <w:sz w:val="18"/>
        <w:szCs w:val="18"/>
      </w:rPr>
      <w:t xml:space="preserve"> de </w:t>
    </w:r>
    <w:r>
      <w:rPr>
        <w:rFonts w:ascii="Arial" w:cs="Arial" w:eastAsia="Arial" w:hAnsi="Arial"/>
        <w:color w:val="40404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spacing w:after="80" w:before="0"/>
    </w:pPr>
    <w:r>
      <w:rPr>
        <w:rFonts w:ascii="Arial" w:cs="Arial" w:eastAsia="Arial" w:hAnsi="Arial"/>
        <w:color w:val="2E75B6"/>
        <w:sz w:val="18"/>
        <w:szCs w:val="18"/>
      </w:rPr>
      <w:t xml:space="preserve">Auditoría Informática – Jurisdicción Sanitaria</w:t>
    </w:r>
    <w:r>
      <w:rPr>
        <w:rFonts w:ascii="Arial" w:cs="Arial" w:eastAsia="Arial" w:hAnsi="Arial"/>
        <w:sz w:val="18"/>
        <w:szCs w:val="18"/>
      </w:rPr>
      <w:t xml:space="preserve">	</w:t>
    </w:r>
    <w:r>
      <w:rPr>
        <w:rFonts w:ascii="Arial" w:cs="Arial" w:eastAsia="Arial" w:hAnsi="Arial"/>
        <w:color w:val="404040"/>
        <w:sz w:val="18"/>
        <w:szCs w:val="18"/>
      </w:rPr>
      <w:t xml:space="preserve">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2026-04-21T19:28:06.920Z</dcterms:created>
  <dcterms:modified xsi:type="dcterms:W3CDTF">2026-04-21T19:28:06.921Z</dcterms:modified>
</cp:coreProperties>
</file>

<file path=docProps/custom.xml><?xml version="1.0" encoding="utf-8"?>
<Properties xmlns="http://schemas.openxmlformats.org/officeDocument/2006/custom-properties" xmlns:vt="http://schemas.openxmlformats.org/officeDocument/2006/docPropsVTypes"/>
</file>